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Kamnář pro renovaci dobových topidel</w:t>
      </w:r>
      <w:bookmarkEnd w:id="1"/>
    </w:p>
    <w:p>
      <w:pPr/>
      <w:r>
        <w:rPr/>
        <w:t xml:space="preserve">Kamnář pro renovaci dobových topidel provádí opravy a zprovoznění historických kachlových kamen, krbů a topidel, včetně opravy kování a keramických částí.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Stavebnictví a zeměměřictví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stavební řemesla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výučním listem tříleté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Kamnář restaurátor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Nadřízené povolání:</w:t>
            </w:r>
          </w:p>
        </w:tc>
        <w:tc>
          <w:tcPr/>
          <w:p>
            <w:pPr/>
            <w:r>
              <w:rPr/>
              <w:t xml:space="preserve">Kamnář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Příbuzné specializace:</w:t>
            </w:r>
          </w:p>
        </w:tc>
        <w:tc>
          <w:tcPr/>
          <w:p>
            <w:pPr/>
            <w:r>
              <w:rPr/>
              <w:t xml:space="preserve">Kamnář stavitel krbů, Kamnář stavitel kachlových kamen a kachlových sporáků, Kamnář montér kamen na biomasu, Kamnář montér kamen na biomasu, Kamnář pro renovaci dobových topidel, Kamnář pro renovaci dobových topidel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Stanovení pracovních postupů, prostředků a metod.</w:t>
      </w:r>
    </w:p>
    <w:p>
      <w:pPr>
        <w:numPr>
          <w:ilvl w:val="0"/>
          <w:numId w:val="5"/>
        </w:numPr>
      </w:pPr>
      <w:r>
        <w:rPr/>
        <w:t xml:space="preserve">Posouzení stavu topidla, jeho stability a soudržnosti.</w:t>
      </w:r>
    </w:p>
    <w:p>
      <w:pPr>
        <w:numPr>
          <w:ilvl w:val="0"/>
          <w:numId w:val="5"/>
        </w:numPr>
      </w:pPr>
      <w:r>
        <w:rPr/>
        <w:t xml:space="preserve">Posouzení stavební připravenosti a bezpečnostních rizik včetně požárních.</w:t>
      </w:r>
    </w:p>
    <w:p>
      <w:pPr>
        <w:numPr>
          <w:ilvl w:val="0"/>
          <w:numId w:val="5"/>
        </w:numPr>
      </w:pPr>
      <w:r>
        <w:rPr/>
        <w:t xml:space="preserve">Provádění drobných zámečnických prací při opravě kování.</w:t>
      </w:r>
    </w:p>
    <w:p>
      <w:pPr>
        <w:numPr>
          <w:ilvl w:val="0"/>
          <w:numId w:val="5"/>
        </w:numPr>
      </w:pPr>
      <w:r>
        <w:rPr/>
        <w:t xml:space="preserve">Stavba rozebraného topidla dle stanoveného technologického postupu včetně zabudování kování.</w:t>
      </w:r>
    </w:p>
    <w:p>
      <w:pPr>
        <w:numPr>
          <w:ilvl w:val="0"/>
          <w:numId w:val="5"/>
        </w:numPr>
      </w:pPr>
      <w:r>
        <w:rPr/>
        <w:t xml:space="preserve">Provádění opravy napojení na komín dle platné normy.</w:t>
      </w:r>
    </w:p>
    <w:p>
      <w:pPr>
        <w:numPr>
          <w:ilvl w:val="0"/>
          <w:numId w:val="5"/>
        </w:numPr>
      </w:pPr>
      <w:r>
        <w:rPr/>
        <w:t xml:space="preserve">Provádění kamnářských prací a drobných stavebních prací.</w:t>
      </w:r>
    </w:p>
    <w:p>
      <w:pPr>
        <w:numPr>
          <w:ilvl w:val="0"/>
          <w:numId w:val="5"/>
        </w:numPr>
      </w:pPr>
      <w:r>
        <w:rPr/>
        <w:t xml:space="preserve">Připojení topidla na sopouch komínu.</w:t>
      </w:r>
    </w:p>
    <w:p>
      <w:pPr>
        <w:numPr>
          <w:ilvl w:val="0"/>
          <w:numId w:val="5"/>
        </w:numPr>
      </w:pPr>
      <w:r>
        <w:rPr/>
        <w:t xml:space="preserve">Provádění topných zkoušek.</w:t>
      </w:r>
    </w:p>
    <w:p>
      <w:pPr>
        <w:numPr>
          <w:ilvl w:val="0"/>
          <w:numId w:val="5"/>
        </w:numPr>
      </w:pPr>
      <w:r>
        <w:rPr/>
        <w:t xml:space="preserve">Ošetřování a údržba nástrojů, nářadí a pomůcek.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Restaurátoři (kromě uměleckých)</w:t>
      </w:r>
    </w:p>
    <w:p>
      <w:pPr>
        <w:numPr>
          <w:ilvl w:val="0"/>
          <w:numId w:val="5"/>
        </w:numPr>
      </w:pPr>
      <w:r>
        <w:rPr/>
        <w:t xml:space="preserve">Kamnáři, zedníci ohnivzdorného zdiva</w:t>
      </w:r>
    </w:p>
    <w:p>
      <w:pPr>
        <w:numPr>
          <w:ilvl w:val="0"/>
          <w:numId w:val="5"/>
        </w:numPr>
      </w:pPr>
      <w:r>
        <w:rPr/>
        <w:t xml:space="preserve">Konzervátoři, restaurátoři a preparátoři a příbuzní pracovníci v galeriích, muzeích a knihovnách</w:t>
      </w:r>
    </w:p>
    <w:p>
      <w:pPr>
        <w:numPr>
          <w:ilvl w:val="0"/>
          <w:numId w:val="5"/>
        </w:numPr>
      </w:pPr>
      <w:r>
        <w:rPr/>
        <w:t xml:space="preserve">Zedníci, kamnáři, dlaždiči a montéři suchých staveb</w:t>
      </w:r>
    </w:p>
    <w:p/>
    <w:p>
      <w:pPr>
        <w:pStyle w:val="Heading4"/>
      </w:pPr>
      <w:bookmarkStart w:id="4" w:name="_Toc4"/>
      <w:r>
        <w:t>Zedníci, kamnáři, dlaždiči a montéři suchých staveb (CZ-ISCO 7112)</w:t>
      </w:r>
      <w:bookmarkEnd w:id="4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21 073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25 775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52 745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32 647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39 411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52 934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20 934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26 828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42 761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32 892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37 637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47 276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22 775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30 177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41 998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28 276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33 984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45 314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31 451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36 341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40 981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32 701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37 408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44 970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22 459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33 017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45 454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28 902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34 607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42 527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32 067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37 853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50 495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22 945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33 112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53 601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30 518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36 446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44 654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22 726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28 378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50 630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5" w:name="_Toc5"/>
      <w:r>
        <w:t>Hrubé měsíční mzdy v roce 2025 celkem</w:t>
      </w:r>
      <w:bookmarkEnd w:id="5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3433</w:t>
            </w:r>
          </w:p>
        </w:tc>
        <w:tc>
          <w:tcPr>
            <w:tcW w:w="2000" w:type="dxa"/>
          </w:tcPr>
          <w:p>
            <w:pPr/>
            <w:r>
              <w:rPr/>
              <w:t xml:space="preserve">Konzervátoři, restaurátoři a preparátoři a příbuzní pracovníci v galeriích, muzeích a knihovnách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39 075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7112</w:t>
            </w:r>
          </w:p>
        </w:tc>
        <w:tc>
          <w:tcPr>
            <w:tcW w:w="2000" w:type="dxa"/>
          </w:tcPr>
          <w:p>
            <w:pPr/>
            <w:r>
              <w:rPr/>
              <w:t xml:space="preserve">Zedníci, kamnáři, dlaždiči a montéři suchých staveb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36 248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31 078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34332</w:t>
            </w:r>
          </w:p>
        </w:tc>
        <w:tc>
          <w:tcPr>
            <w:tcW w:w="2000" w:type="dxa"/>
          </w:tcPr>
          <w:p>
            <w:pPr/>
            <w:r>
              <w:rPr/>
              <w:t xml:space="preserve">Restaurátoři (kromě uměleckých)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38 969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</w:tr>
    </w:tbl>
    <w:p/>
    <w:p>
      <w:pPr>
        <w:pStyle w:val="Heading2"/>
      </w:pPr>
      <w:bookmarkStart w:id="6" w:name="_Toc6"/>
      <w:r>
        <w:t>ESCO</w:t>
      </w:r>
      <w:bookmarkEnd w:id="6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7112</w:t>
            </w:r>
          </w:p>
        </w:tc>
        <w:tc>
          <w:tcPr>
            <w:tcW w:w="3000" w:type="dxa"/>
          </w:tcPr>
          <w:p>
            <w:pPr/>
            <w:r>
              <w:rPr/>
              <w:t xml:space="preserve">Zedníci a dlaždiči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http://data.europa.eu/esco/isco/C7112</w:t>
            </w:r>
          </w:p>
        </w:tc>
      </w:tr>
    </w:tbl>
    <w:p/>
    <w:p/>
    <w:p/>
    <w:p>
      <w:pPr>
        <w:pStyle w:val="Heading2"/>
      </w:pPr>
      <w:bookmarkStart w:id="7" w:name="_Toc7"/>
      <w:r>
        <w:t>Pracovní podmínky</w:t>
      </w:r>
      <w:bookmarkEnd w:id="7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8" w:name="_Toc8"/>
      <w:r>
        <w:t>Kvalifikace k výkonu povolání</w:t>
      </w:r>
      <w:bookmarkEnd w:id="8"/>
    </w:p>
    <w:p>
      <w:pPr>
        <w:pStyle w:val="Heading3"/>
      </w:pPr>
      <w:bookmarkStart w:id="9" w:name="_Toc9"/>
      <w:r>
        <w:t>Školní vzdělání</w:t>
      </w:r>
      <w:bookmarkEnd w:id="9"/>
    </w:p>
    <w:p/>
    <w:p>
      <w:pPr>
        <w:pStyle w:val="Heading4"/>
      </w:pPr>
      <w:bookmarkStart w:id="10" w:name="_Toc10"/>
      <w:r>
        <w:t>Nejvhodnější školní přípravu poskytují obory:</w:t>
      </w:r>
      <w:bookmarkEnd w:id="10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zedník, kamnář, zednické práce, stavební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3667H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Kamnář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36-67-H/02</w:t>
            </w:r>
          </w:p>
        </w:tc>
      </w:tr>
    </w:tbl>
    <w:p/>
    <w:p>
      <w:pPr>
        <w:pStyle w:val="Heading4"/>
      </w:pPr>
      <w:bookmarkStart w:id="11" w:name="_Toc11"/>
      <w:r>
        <w:t>Vhodnou školní přípravu poskytují také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Zedník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36-67-H/01</w:t>
            </w:r>
          </w:p>
        </w:tc>
      </w:tr>
    </w:tbl>
    <w:p/>
    <w:p>
      <w:pPr>
        <w:pStyle w:val="Heading3"/>
      </w:pPr>
      <w:bookmarkStart w:id="12" w:name="_Toc12"/>
      <w:r>
        <w:t>Další vzdělání</w:t>
      </w:r>
      <w:bookmarkEnd w:id="12"/>
    </w:p>
    <w:p>
      <w:pPr>
        <w:pStyle w:val="Heading4"/>
      </w:pPr>
      <w:bookmarkStart w:id="13" w:name="_Toc13"/>
      <w:r>
        <w:t>Profesní kvalifikace</w:t>
      </w:r>
      <w:bookmarkEnd w:id="13"/>
    </w:p>
    <w:p>
      <w:pPr>
        <w:numPr>
          <w:ilvl w:val="0"/>
          <w:numId w:val="5"/>
        </w:numPr>
      </w:pPr>
      <w:r>
        <w:rPr/>
        <w:t xml:space="preserve">Kamnář/kamnářka pro renovaci dobových topidel (36-055-M)</w:t>
      </w:r>
    </w:p>
    <w:p/>
    <w:p/>
    <w:p>
      <w:pPr>
        <w:pStyle w:val="Heading2"/>
      </w:pPr>
      <w:bookmarkStart w:id="14" w:name="_Toc14"/>
      <w:r>
        <w:t>Kompetenční požadavky</w:t>
      </w:r>
      <w:bookmarkEnd w:id="14"/>
    </w:p>
    <w:p>
      <w:pPr>
        <w:pStyle w:val="Heading3"/>
      </w:pPr>
      <w:bookmarkStart w:id="15" w:name="_Toc15"/>
      <w:r>
        <w:t>Odborné dovednosti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g11.D.2021</w:t>
            </w:r>
          </w:p>
        </w:tc>
        <w:tc>
          <w:tcPr>
            <w:tcW w:w="3000" w:type="dxa"/>
          </w:tcPr>
          <w:p>
            <w:pPr/>
            <w:r>
              <w:rPr/>
              <w:t xml:space="preserve">Volba postupu práce, nářadí, pomůcek a materiálů pro stavbu, přestavbu a opravy různých typů kamen, sporáků a krbů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g13.A.4027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zkoušek otopných soustav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g11.A.3312</w:t>
            </w:r>
          </w:p>
        </w:tc>
        <w:tc>
          <w:tcPr>
            <w:tcW w:w="3000" w:type="dxa"/>
          </w:tcPr>
          <w:p>
            <w:pPr/>
            <w:r>
              <w:rPr/>
              <w:t xml:space="preserve">Připojování topidel na komín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g11.D.1092</w:t>
            </w:r>
          </w:p>
        </w:tc>
        <w:tc>
          <w:tcPr>
            <w:tcW w:w="3000" w:type="dxa"/>
          </w:tcPr>
          <w:p>
            <w:pPr/>
            <w:r>
              <w:rPr/>
              <w:t xml:space="preserve">Čtení stavebních výkresů a dokumentace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g11.D.3930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Provozní kontrola konstrukce, funkce a připojení topidel na komín, posuzování topidel z hlediska požární ochrany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m13.A.4001</w:t>
            </w:r>
          </w:p>
        </w:tc>
        <w:tc>
          <w:tcPr>
            <w:tcW w:w="3000" w:type="dxa"/>
          </w:tcPr>
          <w:p>
            <w:pPr/>
            <w:r>
              <w:rPr/>
              <w:t xml:space="preserve">Rozebírání individuálně stavěného dobového topidla s ohledem na jeho stáří a možnost poškození, dle stanoveného technologického postupu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g11.A.3413</w:t>
            </w:r>
          </w:p>
        </w:tc>
        <w:tc>
          <w:tcPr>
            <w:tcW w:w="3000" w:type="dxa"/>
          </w:tcPr>
          <w:p>
            <w:pPr/>
            <w:r>
              <w:rPr/>
              <w:t xml:space="preserve">Zdění topeniště renovovaného topidla dle technické dokumentace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e62.A.4011</w:t>
            </w:r>
          </w:p>
        </w:tc>
        <w:tc>
          <w:tcPr>
            <w:tcW w:w="3000" w:type="dxa"/>
          </w:tcPr>
          <w:p>
            <w:pPr/>
            <w:r>
              <w:rPr/>
              <w:t xml:space="preserve">Oprava glazury kachlů pomocí studených glazur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g11.A.6025</w:t>
            </w:r>
          </w:p>
        </w:tc>
        <w:tc>
          <w:tcPr>
            <w:tcW w:w="3000" w:type="dxa"/>
          </w:tcPr>
          <w:p>
            <w:pPr/>
            <w:r>
              <w:rPr/>
              <w:t xml:space="preserve">Zajištění stability individuálně stavěného dobového topidla při jeho montáži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m13.A.3036</w:t>
            </w:r>
          </w:p>
        </w:tc>
        <w:tc>
          <w:tcPr>
            <w:tcW w:w="3000" w:type="dxa"/>
          </w:tcPr>
          <w:p>
            <w:pPr/>
            <w:r>
              <w:rPr/>
              <w:t xml:space="preserve">Stavba rozebraného individuálně stavěného dobového topidla, dle stanoveného technologického postupu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g11.D.1350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technické dokumentace o průběhu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g11.A.1244</w:t>
            </w:r>
          </w:p>
        </w:tc>
        <w:tc>
          <w:tcPr>
            <w:tcW w:w="3000" w:type="dxa"/>
          </w:tcPr>
          <w:p>
            <w:pPr/>
            <w:r>
              <w:rPr/>
              <w:t xml:space="preserve">Ruční a strojní opracovávání kamnářských keramických a kovových materiálů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Odborné znalosti</w:t>
      </w:r>
      <w:bookmarkEnd w:id="16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technické kreslení ve stavebnictví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g11._.0018</w:t>
            </w:r>
          </w:p>
        </w:tc>
        <w:tc>
          <w:tcPr>
            <w:tcW w:w="3000" w:type="dxa"/>
          </w:tcPr>
          <w:p>
            <w:pPr/>
            <w:r>
              <w:rPr/>
              <w:t xml:space="preserve">zámečnické prvky ve stavebnictví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e63._.0011</w:t>
            </w:r>
          </w:p>
        </w:tc>
        <w:tc>
          <w:tcPr>
            <w:tcW w:w="3000" w:type="dxa"/>
          </w:tcPr>
          <w:p>
            <w:pPr/>
            <w:r>
              <w:rPr/>
              <w:t xml:space="preserve">žáruvzdorné stavební a keramické materiály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g11._.0031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zednických prací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g11._.0047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kamnářských prací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l24._.0022</w:t>
            </w:r>
          </w:p>
        </w:tc>
        <w:tc>
          <w:tcPr>
            <w:tcW w:w="3000" w:type="dxa"/>
          </w:tcPr>
          <w:p>
            <w:pPr/>
            <w:r>
              <w:rPr/>
              <w:t xml:space="preserve">bezpečnost práce a požární ochrana ve stavebnictví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g11._.0057</w:t>
            </w:r>
          </w:p>
        </w:tc>
        <w:tc>
          <w:tcPr>
            <w:tcW w:w="3000" w:type="dxa"/>
          </w:tcPr>
          <w:p>
            <w:pPr/>
            <w:r>
              <w:rPr/>
              <w:t xml:space="preserve">předpisy a technické normy ve stavebnictví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7" w:name="_Toc17"/>
      <w:r>
        <w:t>Digitální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8" w:name="_Toc18"/>
      <w:r>
        <w:t>Měkké kompetence</w:t>
      </w:r>
      <w:bookmarkEnd w:id="1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9" w:name="_Toc19"/>
      <w:r>
        <w:t>Zdravotní podmínky</w:t>
      </w:r>
      <w:bookmarkEnd w:id="19"/>
    </w:p>
    <w:p>
      <w:pPr>
        <w:pStyle w:val="Heading3"/>
      </w:pPr>
      <w:bookmarkStart w:id="20" w:name="_Toc20"/>
      <w:r>
        <w:t>Onemocnění omezující výkon povolání / specializace povolání.</w:t>
      </w:r>
      <w:bookmarkEnd w:id="20"/>
    </w:p>
    <w:p>
      <w:pPr>
        <w:numPr>
          <w:ilvl w:val="0"/>
          <w:numId w:val="5"/>
        </w:numPr>
      </w:pPr>
      <w:r>
        <w:rPr/>
        <w:t xml:space="preserve">Závažné stavy po úrazech či operacích pohybového systému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20B07A5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Kamnář pro renovaci dobových topidel</dc:title>
  <dc:description>Kamnář pro renovaci dobových topidel provádí opravy a zprovoznění historických kachlových kamen, krbů a topidel, včetně opravy kování a keramických částí.</dc:description>
  <dc:subject/>
  <cp:keywords/>
  <cp:category>Specializace</cp:category>
  <cp:lastModifiedBy/>
  <dcterms:created xsi:type="dcterms:W3CDTF">2017-11-22T09:38:35+01:00</dcterms:created>
  <dcterms:modified xsi:type="dcterms:W3CDTF">2024-03-26T10:03:33+01:00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