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vzdělávání</w:t>
      </w:r>
      <w:bookmarkEnd w:id="1"/>
    </w:p>
    <w:p>
      <w:pPr/>
      <w:r>
        <w:rPr/>
        <w:t xml:space="preserve">Vrchní komisař – specialista v oblasti vzdělávání řeší expertní úkoly a metodické činnosti, koordinuje a komplexně zajišťuje odborné činnosti na úseku vzdělávání v Hasičském záchranném sboru ČR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projektů systémů vzdělávání a vzdělávacích projektů, v rámci zajišťování koncepční a metodické činnosti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vývojových trendů v oblasti výuky a výcviku,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administrace a dokumentace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přípravy, provádění a vyhodnocování průzkumů vzdělávacích potřeb a průzkumů zájmu o další vzdělávání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vzdělávacího programu na základě stanovených vzdělávacích cílů, vč. z nich vyplývajících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vzdělávacích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74C3C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vzdělávání</dc:title>
  <dc:description>Vrchní komisař – specialista v oblasti vzdělávání řeší expertní úkoly a metodické činnosti, koordinuje a komplexně zajišťuje odborné činnosti na úseku vzdělávání v Hasičském záchranném sboru ČR s celorepublikovou působností.</dc:description>
  <dc:subject/>
  <cp:keywords/>
  <cp:category>Specializace</cp:category>
  <cp:lastModifiedBy/>
  <dcterms:created xsi:type="dcterms:W3CDTF">2017-11-22T09:38:23+01:00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