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</w:t>
      </w:r>
      <w:bookmarkEnd w:id="1"/>
    </w:p>
    <w:p>
      <w:pPr/>
      <w:r>
        <w:rPr/>
        <w:t xml:space="preserve">Vodárenský specialista stanovuje technologické postupy, řídí složité a náročné úkoly v oblasti výroby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vodárenských zařízení k úpravě vody a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vodárenských technologických zařízeních k úpravě a čištění vody.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výroby a čištění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vodárenských zařízení k úpravě a čištění vody.</w:t>
      </w:r>
    </w:p>
    <w:p>
      <w:pPr>
        <w:numPr>
          <w:ilvl w:val="0"/>
          <w:numId w:val="5"/>
        </w:numPr>
      </w:pPr>
      <w:r>
        <w:rPr/>
        <w:t xml:space="preserve">Sledování nových technologií v oboru a jejich uplatňování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procesů výroby pitné vody a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99B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</dc:title>
  <dc:description>Vodárenský specialista stanovuje technologické postupy, řídí složité a náročné úkoly v oblasti výroby pitné vody a čištění odpadních vod.</dc:description>
  <dc:subject/>
  <cp:keywords/>
  <cp:category>Povolání</cp:category>
  <cp:lastModifiedBy/>
  <dcterms:created xsi:type="dcterms:W3CDTF">2017-11-22T09:07:19+01:00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