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správy povodí</w:t>
      </w:r>
      <w:bookmarkEnd w:id="1"/>
    </w:p>
    <w:p>
      <w:pPr/>
      <w:r>
        <w:rPr/>
        <w:t xml:space="preserve"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vodohospodářského rozvoje, Referent vodohospodářského plánování, Pracovník technickobezpečnostního dohledu, 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podkladů pro stanovení záplavových území.</w:t>
      </w:r>
    </w:p>
    <w:p>
      <w:pPr>
        <w:numPr>
          <w:ilvl w:val="0"/>
          <w:numId w:val="5"/>
        </w:numPr>
      </w:pPr>
      <w:r>
        <w:rPr/>
        <w:t xml:space="preserve">Zajištění a zpracování vodohospodářských studií, studií záplavových území,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Provádění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Provádění technicko-bezpečnostního dohledu nad vodními díly IV. kategorie.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evidencí a dokumentací.</w:t>
      </w:r>
    </w:p>
    <w:p>
      <w:pPr>
        <w:numPr>
          <w:ilvl w:val="0"/>
          <w:numId w:val="5"/>
        </w:numPr>
      </w:pPr>
      <w:r>
        <w:rPr/>
        <w:t xml:space="preserve">Zpracování návrhů ochranných pásem vodních zdrojů.</w:t>
      </w:r>
    </w:p>
    <w:p>
      <w:pPr>
        <w:numPr>
          <w:ilvl w:val="0"/>
          <w:numId w:val="5"/>
        </w:numPr>
      </w:pPr>
      <w:r>
        <w:rPr/>
        <w:t xml:space="preserve">Zpracování povodňových plánů.</w:t>
      </w:r>
    </w:p>
    <w:p>
      <w:pPr>
        <w:numPr>
          <w:ilvl w:val="0"/>
          <w:numId w:val="5"/>
        </w:numPr>
      </w:pPr>
      <w:r>
        <w:rPr/>
        <w:t xml:space="preserve">Zpracování havarijních plánů.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597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správy povodí</dc:title>
  <dc:description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