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soudní úředník</w:t>
      </w:r>
      <w:bookmarkEnd w:id="1"/>
    </w:p>
    <w:p>
      <w:pPr/>
      <w:r>
        <w:rPr/>
        <w:t xml:space="preserve">Vyšší soudní úředník se podílí na výkonu soudnictví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Rozhodování ve věcech platebních rozkazů a elektronických platebních rozkazů.</w:t>
      </w:r>
    </w:p>
    <w:p>
      <w:pPr>
        <w:numPr>
          <w:ilvl w:val="0"/>
          <w:numId w:val="5"/>
        </w:numPr>
      </w:pPr>
      <w:r>
        <w:rPr/>
        <w:t xml:space="preserve">Řízení o úschovách.</w:t>
      </w:r>
    </w:p>
    <w:p>
      <w:pPr>
        <w:numPr>
          <w:ilvl w:val="0"/>
          <w:numId w:val="5"/>
        </w:numPr>
      </w:pPr>
      <w:r>
        <w:rPr/>
        <w:t xml:space="preserve">Provádění smírčích řízení.</w:t>
      </w:r>
    </w:p>
    <w:p>
      <w:pPr>
        <w:numPr>
          <w:ilvl w:val="0"/>
          <w:numId w:val="5"/>
        </w:numPr>
      </w:pPr>
      <w:r>
        <w:rPr/>
        <w:t xml:space="preserve">Provádění úkonů ve věcech péče o nezletilé a v opatrovnických věcech osob zbavených způsobilosti k právním úkonům.</w:t>
      </w:r>
    </w:p>
    <w:p>
      <w:pPr>
        <w:numPr>
          <w:ilvl w:val="0"/>
          <w:numId w:val="5"/>
        </w:numPr>
      </w:pPr>
      <w:r>
        <w:rPr/>
        <w:t xml:space="preserve">Vyřizování dožádání.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odměně advokáta.</w:t>
      </w:r>
    </w:p>
    <w:p>
      <w:pPr>
        <w:numPr>
          <w:ilvl w:val="0"/>
          <w:numId w:val="5"/>
        </w:numPr>
      </w:pPr>
      <w:r>
        <w:rPr/>
        <w:t xml:space="preserve">Rozhodování o zápočtu vazby a trestu.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Vyšší soudní úředníci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soudní úředníci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rozhodovací činnost na místo zákonného soudce ve všech oborech práva podle zvláštního zákona.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977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soudní úředník</dc:title>
  <dc:description>Vyšší soudní úředník se podílí na výkonu soudnictví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2017-11-22T09:09:06+01:00</dcterms:created>
  <dcterms:modified xsi:type="dcterms:W3CDTF">2017-11-22T09:09:06+01:00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