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mládež a zájmové vzdělávání</w:t>
      </w:r>
      <w:bookmarkEnd w:id="1"/>
    </w:p>
    <w:p>
      <w:pPr/>
      <w:r>
        <w:rPr/>
        <w:t xml:space="preserve">Referent územního samosprávného celku pro mládež a zájmové vzdělávání vede agendu a zajišťuje dílčí úkoly v oblasti mládeže a zájmového vzdělávání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mládeže a zájmového vzdělávání (v ÚSC).</w:t>
      </w:r>
    </w:p>
    <w:p>
      <w:pPr>
        <w:numPr>
          <w:ilvl w:val="0"/>
          <w:numId w:val="5"/>
        </w:numPr>
      </w:pPr>
      <w:r>
        <w:rPr/>
        <w:t xml:space="preserve">Zpracovávání žádosti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Spolupráce při přípravě kulturně vzdělávacích akcí v ÚSC.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úsek¨cích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mládeže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kulturně vzdělávacích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péče o děti a mládež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A34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mládež a zájmové vzdělávání</dc:title>
  <dc:description>Referent územního samosprávného celku pro mládež a zájmové vzdělávání vede agendu a zajišťuje dílčí úkoly v oblasti mládeže a zájmového vzdělávání v územním samosprávném celku (dále jen ÚSC).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