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Likvidátor škod z pojištění vozidel</w:t>
      </w:r>
      <w:bookmarkEnd w:id="0"/>
    </w:p>
    <w:p>
      <w:pPr/>
      <w:r>
        <w:rPr/>
        <w:t xml:space="preserve">Likvidátor škod z pojištění vozidel eviduje škodní události související s provozem vozidla, analyzuje, hodnotí a stanovuje výši pojistného plnění.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  <w:noWrap/>
          </w:tcPr>
          <w:p>
            <w:pPr/>
            <w:r>
              <w:rPr/>
              <w:t xml:space="preserve">Bankovnictví, finance a pojišťovnictví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>
            <w:noWrap/>
          </w:tcPr>
          <w:p>
            <w:pPr/>
            <w:r>
              <w:rPr/>
              <w:t xml:space="preserve">pojišťovnictví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>
            <w:noWrap/>
          </w:tcPr>
          <w:p>
            <w:pPr/>
            <w:r>
              <w:rPr/>
              <w:t xml:space="preserve">Střední vzdělání s výučním listem tříleté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>
            <w:noWrap/>
          </w:tcPr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1" w:name="_Toc1"/>
      <w:r>
        <w:t>Pracovní činnosti</w:t>
      </w:r>
      <w:bookmarkEnd w:id="1"/>
    </w:p>
    <w:p>
      <w:pPr>
        <w:numPr>
          <w:ilvl w:val="0"/>
          <w:numId w:val="5"/>
        </w:numPr>
      </w:pPr>
      <w:r>
        <w:rPr/>
        <w:t xml:space="preserve">Evidence škodní události.</w:t>
      </w:r>
    </w:p>
    <w:p>
      <w:pPr>
        <w:numPr>
          <w:ilvl w:val="0"/>
          <w:numId w:val="5"/>
        </w:numPr>
      </w:pPr>
      <w:r>
        <w:rPr/>
        <w:t xml:space="preserve">Shromáždění podkladů ke škodní události.</w:t>
      </w:r>
    </w:p>
    <w:p>
      <w:pPr>
        <w:numPr>
          <w:ilvl w:val="0"/>
          <w:numId w:val="5"/>
        </w:numPr>
      </w:pPr>
      <w:r>
        <w:rPr/>
        <w:t xml:space="preserve">Posouzení právního nároku, identifikace případného pojistného podvodu.</w:t>
      </w:r>
    </w:p>
    <w:p>
      <w:pPr>
        <w:numPr>
          <w:ilvl w:val="0"/>
          <w:numId w:val="5"/>
        </w:numPr>
      </w:pPr>
      <w:r>
        <w:rPr/>
        <w:t xml:space="preserve">Výpočet pojistného plnění.</w:t>
      </w:r>
    </w:p>
    <w:p>
      <w:pPr>
        <w:numPr>
          <w:ilvl w:val="0"/>
          <w:numId w:val="5"/>
        </w:numPr>
      </w:pPr>
      <w:r>
        <w:rPr/>
        <w:t xml:space="preserve">Archivace pojistných událostí.</w:t>
      </w:r>
    </w:p>
    <w:p>
      <w:pPr>
        <w:numPr>
          <w:ilvl w:val="0"/>
          <w:numId w:val="5"/>
        </w:numPr>
      </w:pPr>
      <w:r>
        <w:rPr/>
        <w:t xml:space="preserve">Jednání s osobami uplatňujícími nároky na pojistná plnění, s Policií ČR a ostatními orgány činnými v trestním řízení a správními orgány (např. autoservisy a jinými opravárenskými zařízeními, soudy, zahraniční policií, zdravotními pojišťovnami, Českou kanceláří pojistitelů, asistenčními službami).</w:t>
      </w:r>
    </w:p>
    <w:p>
      <w:pPr>
        <w:numPr>
          <w:ilvl w:val="0"/>
          <w:numId w:val="5"/>
        </w:numPr>
      </w:pPr>
      <w:r>
        <w:rPr/>
        <w:t xml:space="preserve">Jednání s klientem a všemi zúčastněnými stranami.</w:t>
      </w:r>
    </w:p>
    <w:p>
      <w:pPr>
        <w:numPr>
          <w:ilvl w:val="0"/>
          <w:numId w:val="5"/>
        </w:numPr>
      </w:pPr>
      <w:r>
        <w:rPr/>
        <w:t xml:space="preserve">Navrhování postihů (regresů) v souvislosti s likvidací pojistné události.</w:t>
      </w:r>
    </w:p>
    <w:p/>
    <w:p>
      <w:pPr>
        <w:pStyle w:val="Heading2"/>
      </w:pPr>
      <w:bookmarkStart w:id="2" w:name="_Toc2"/>
      <w:r>
        <w:t>CZ-ISCO</w:t>
      </w:r>
      <w:bookmarkEnd w:id="2"/>
    </w:p>
    <w:p>
      <w:pPr>
        <w:numPr>
          <w:ilvl w:val="0"/>
          <w:numId w:val="5"/>
        </w:numPr>
      </w:pPr>
      <w:r>
        <w:rPr/>
        <w:t xml:space="preserve">Likvidátoři</w:t>
      </w:r>
    </w:p>
    <w:p>
      <w:pPr>
        <w:numPr>
          <w:ilvl w:val="0"/>
          <w:numId w:val="5"/>
        </w:numPr>
      </w:pPr>
      <w:r>
        <w:rPr/>
        <w:t xml:space="preserve">Odhadci, zbožíznalci a likvidátoři</w:t>
      </w:r>
    </w:p>
    <w:p/>
    <w:p>
      <w:pPr>
        <w:pStyle w:val="Heading3"/>
      </w:pPr>
      <w:bookmarkStart w:id="3" w:name="_Toc3"/>
      <w:r>
        <w:t>Hrubé měsíční mzdy podle krajů v roce 2025</w:t>
      </w:r>
      <w:bookmarkEnd w:id="3"/>
    </w:p>
    <w:p>
      <w:pPr>
        <w:pStyle w:val="Heading4"/>
      </w:pPr>
      <w:bookmarkStart w:id="4" w:name="_Toc4"/>
      <w:r>
        <w:t>Odhadci, zbožíznalci a likvidátoři (CZ-ISCO 3315)</w:t>
      </w:r>
      <w:bookmarkEnd w:id="4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  <w:noWrap/>
          </w:tcPr>
          <w:p/>
        </w:tc>
        <w:tc>
          <w:tcPr>
            <w:tcW w:w="3300" w:type="dxa"/>
            <w:gridSpan w:val="3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  <w:noWrap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Hlavní město Praha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45 427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59 628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83 186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Plzeňský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45 387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53 592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63 158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Liberecký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49 432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55 235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64 042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Královéhradecký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26 343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55 856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66 744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Pardubický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42 563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52 881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64 195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Jihomoravský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45 822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61 139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80 928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</w:tbl>
    <w:p/>
    <w:p>
      <w:pPr>
        <w:pStyle w:val="Heading3"/>
      </w:pPr>
      <w:bookmarkStart w:id="5" w:name="_Toc5"/>
      <w:r>
        <w:t>Hrubé měsíční mzdy v roce 2025 celkem</w:t>
      </w:r>
      <w:bookmarkEnd w:id="5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  <w:noWrap/>
          </w:tcPr>
          <w:p/>
        </w:tc>
        <w:tc>
          <w:tcPr>
            <w:tcW w:w="6000" w:type="dxa"/>
            <w:gridSpan w:val="2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  <w:noWrap/>
          </w:tcPr>
          <w:p/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3315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Odhadci, zbožíznalci a likvidátoři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-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57 966 Kč</w:t>
            </w:r>
          </w:p>
        </w:tc>
      </w:tr>
      <w:tr>
        <w:trPr/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33152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Likvidátoři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-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56 959 Kč</w:t>
            </w:r>
          </w:p>
        </w:tc>
      </w:tr>
    </w:tbl>
    <w:p/>
    <w:p>
      <w:pPr>
        <w:pStyle w:val="Heading2"/>
      </w:pPr>
      <w:bookmarkStart w:id="6" w:name="_Toc6"/>
      <w:r>
        <w:t>Pracovní podmínky</w:t>
      </w:r>
      <w:bookmarkEnd w:id="6"/>
    </w:p>
    <w:p>
      <w:pPr/>
      <w:r>
        <w:rPr/>
        <w:t xml:space="preserve">Rizikové faktory pracovních podmínek a vyskytující se druhy zátěže upravuje nařízení vlády č. 361/2007 Sb., kterým se stanoví podmínky ochrany zdraví při práci, zákon č. 258/2000 Sb., o ochraně veřejného zdraví a zákon č. 262/2006 Sb., zákoník práce. Vždy vyplývají z pracovních podmínek, které se vztahují ke konkrétnímu zaměstnavateli, tudíž se mohou u různých zaměstnavatelů lišit.</w:t>
      </w:r>
    </w:p>
    <w:p/>
    <w:p>
      <w:pPr/>
      <w:r>
        <w:rPr/>
        <w:t xml:space="preserve">Určení míry výskytu faktorů, které mohou ovlivnit zdraví při práci vychází z druhu práce vykonávané na pracovišti. Faktory se zařazují do čtyř kategorií dle míry zdravotního rizika a jeho vlivu na zdraví. O zařazení prací do třetí nebo čtvrté kategorie rozhoduje příslušný orgán ochrany veřejného zdraví.</w:t>
      </w:r>
    </w:p>
    <w:p/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1. Stupeň zátěže (minimální zdravotní riziko) - Faktor se při výkonu práce nevyskytuje nebo je zátěž faktorem minimální, vliv faktoru je ze zdravotního hlediska nevýznamný.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2. Stupeň zátěže (únosná míra zdravotního rizika) - Ze zdravotního hlediska je míra zátěže faktorem únosná, nepřekračuje limity stanovené předpisy, vliv faktoru je akceptovatelný pro zdravého člověka.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3. Stupeň zátěže (významná míra zdravotního rizika) - Úroveň zátěže překračuje stanovené limitní hodnoty expozice (zátěže), na pracovištích je nutná realizace náhradních technických a organizačních opatření, nelze vyloučit negativní vliv na zdraví pracovníků.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4. Stupeň zátěže (vysoká míra zdravotního rizika) - Úroveň zátěže vysoce překračuje stanovené limitní hodnoty expozice, na pracovištích musí být dodržován soubor preventivních opatření, častěji dochází k poškození zdraví.</w:t>
      </w:r>
    </w:p>
    <w:p/>
    <w:p/>
    <w:p>
      <w:pPr>
        <w:pStyle w:val="Heading2"/>
      </w:pPr>
      <w:bookmarkStart w:id="7" w:name="_Toc7"/>
      <w:r>
        <w:t>Kvalifikace k výkonu povolání</w:t>
      </w:r>
      <w:bookmarkEnd w:id="7"/>
    </w:p>
    <w:p>
      <w:pPr>
        <w:pStyle w:val="Heading3"/>
      </w:pPr>
      <w:bookmarkStart w:id="8" w:name="_Toc8"/>
      <w:r>
        <w:t>Školní vzdělání</w:t>
      </w:r>
      <w:bookmarkEnd w:id="8"/>
    </w:p>
    <w:p/>
    <w:p>
      <w:pPr>
        <w:pStyle w:val="Heading4"/>
      </w:pPr>
      <w:bookmarkStart w:id="9" w:name="_Toc9"/>
      <w:r>
        <w:t>Nejvhodnější školní přípravu poskytují obory:</w:t>
      </w:r>
      <w:bookmarkEnd w:id="9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výučním listem v oboru automechanik, technické práce v autoservisu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2368H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Dopravní prostředky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23-45-M/01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Ekonomika a podnikání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63-41-M/01</w:t>
            </w:r>
          </w:p>
        </w:tc>
      </w:tr>
    </w:tbl>
    <w:p/>
    <w:p>
      <w:pPr>
        <w:pStyle w:val="Heading4"/>
      </w:pPr>
      <w:bookmarkStart w:id="10" w:name="_Toc10"/>
      <w:r>
        <w:t>Vhodnou školní přípravu poskytují také obory:</w:t>
      </w:r>
      <w:bookmarkEnd w:id="10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maturitní zkouškou (bez vyučení) ve skupině oborů strojírenství a strojírenská výroba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23xxM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maturitní zkouškou ve skupině oborů strojírenství a strojírenská výroba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23xxL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výučním listem ve skupině oborů strojírenství a strojírenská výroba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23xxH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výučním listem ve skupině oborů strojírenství a strojírenská výroba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23xxE</w:t>
            </w:r>
          </w:p>
        </w:tc>
      </w:tr>
    </w:tbl>
    <w:p/>
    <w:p>
      <w:pPr>
        <w:pStyle w:val="Heading2"/>
      </w:pPr>
      <w:bookmarkStart w:id="11" w:name="_Toc11"/>
      <w:r>
        <w:t>Kompetenční požadavky</w:t>
      </w:r>
      <w:bookmarkEnd w:id="11"/>
    </w:p>
    <w:p>
      <w:pPr>
        <w:pStyle w:val="Heading3"/>
      </w:pPr>
      <w:bookmarkStart w:id="12" w:name="_Toc12"/>
      <w:r>
        <w:t>Odborné dovednosti</w:t>
      </w:r>
      <w:bookmarkEnd w:id="12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i12.D.1712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Využívání právních a ostatních předpisů souvisejících s pojištěním motorových vozidel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i12.D.6551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Shromažďování a analýza podkladů potřebných pro likvidaci pojistné události - pojištění motorových vozidel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i12.D.2582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Navržení postupu likvidace pojistné události - pojištění motorových vozidel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i12.D.6555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Identifikování pojistných podvodů - pojištění motorových vozidel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3" w:name="_Toc13"/>
      <w:r>
        <w:t>Odborné znalosti</w:t>
      </w:r>
      <w:bookmarkEnd w:id="13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i12._.0058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pravidla a postupy určování rozsahu a náhrad škod při pojistných událostech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i12._.0061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odhady výše pojistného plnění ve vazbě na rezervy hlášených pojistných událostí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i12._.0071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pojišťovací legislativa včetně pojistných podmínek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i31._.0001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pravidla evidování korespondence, smluv a dalších dokumentů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i31._.0021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náležitosti úřední a obchodní korespondence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i12._.0051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pojišťovnictví obecně, druhy pojištění a jejich rozsahy pojistného krytí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i12._.0067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pravidla a rozsah pojistného krytí v jednotlivých produktech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i12._.0059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technická odbornost daného pojistného odvětví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4" w:name="_Toc14"/>
      <w:r>
        <w:t>Digitální kompetence</w:t>
      </w:r>
      <w:bookmarkEnd w:id="14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Kreativní využívání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Integrace a přepracování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15" w:name="_Toc15"/>
      <w:r>
        <w:t>Měkké kompetence</w:t>
      </w:r>
      <w:bookmarkEnd w:id="15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efektivní komunikaci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2.6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vedení lidí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0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objevování a orientaci v informacích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ke zvládání stresu a zátěže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aktivnímu přístupu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celoživotnímu vzdělávání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plánování a organizování práce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řešení problémů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4.5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samostatnosti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4.6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výkonnosti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orientaci na zákazníka a uspokojování zákaznických potřeb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flexibilitě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ke kreativitě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ke kooperaci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ovlivňování a rozvíjení ostatních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16" w:name="_Toc16"/>
      <w:r>
        <w:t>Zdravotní podmínky</w:t>
      </w:r>
      <w:bookmarkEnd w:id="16"/>
    </w:p>
    <w:p>
      <w:pPr>
        <w:pStyle w:val="Heading3"/>
      </w:pPr>
      <w:bookmarkStart w:id="17" w:name="_Toc17"/>
      <w:r>
        <w:t>Onemocnění omezující výkon povolání / specializace povolání.</w:t>
      </w:r>
      <w:bookmarkEnd w:id="17"/>
    </w:p>
    <w:p>
      <w:pPr>
        <w:numPr>
          <w:ilvl w:val="0"/>
          <w:numId w:val="5"/>
        </w:numPr>
      </w:pPr>
      <w:r>
        <w:rPr/>
        <w:t xml:space="preserve">Duševní poruchy a poruchy chování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7DEA5EF4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Likvidátor škod z pojištění vozidel</dc:title>
  <dc:description>Likvidátor škod z pojištění vozidel eviduje škodní události související s provozem vozidla, analyzuje, hodnotí a stanovuje výši pojistného plnění.</dc:description>
  <dc:subject/>
  <cp:keywords/>
  <cp:category>Povolání</cp:category>
  <cp:lastModifiedBy/>
  <dcterms:created xsi:type="dcterms:W3CDTF">2017-11-22T09:07:28+00:00</dcterms:created>
  <dcterms:modified xsi:type="dcterms:W3CDTF">2024-03-26T09:57:40+00:00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