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vrchního, krajského nebo okresního soudu</w:t>
      </w:r>
      <w:bookmarkEnd w:id="1"/>
    </w:p>
    <w:p>
      <w:pPr/>
      <w:r>
        <w:rPr/>
        <w:t xml:space="preserve"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zvláštním zákonem pro vyšší soudní úředníky.</w:t>
      </w:r>
    </w:p>
    <w:p>
      <w:pPr>
        <w:numPr>
          <w:ilvl w:val="0"/>
          <w:numId w:val="5"/>
        </w:numPr>
      </w:pPr>
      <w:r>
        <w:rPr/>
        <w:t xml:space="preserve">Provádění jednotlivých procesních úkonů z pověření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8252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vrchního, krajského nebo okresního soudu</dc:title>
  <dc:description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dc:description>
  <dc:subject/>
  <cp:keywords/>
  <cp:category>Specializace</cp:category>
  <cp:lastModifiedBy/>
  <dcterms:created xsi:type="dcterms:W3CDTF">2017-11-22T09:36:17+01:00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