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lomové těžby</w:t>
      </w:r>
      <w:bookmarkEnd w:id="1"/>
    </w:p>
    <w:p>
      <w:pPr/>
      <w:r>
        <w:rPr/>
        <w:t xml:space="preserve">Dispečer lomové těžby koordinuje činnosti jednotlivých výrobních a technologických provozů v organizaci provádějící povrchovou těžbu a úpravu nerostné suroviny.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technologických celků.</w:t>
      </w:r>
    </w:p>
    <w:p>
      <w:pPr>
        <w:numPr>
          <w:ilvl w:val="0"/>
          <w:numId w:val="5"/>
        </w:numPr>
      </w:pPr>
      <w:r>
        <w:rPr/>
        <w:t xml:space="preserve">Sledování a vyhodnocování průběhu těžby, dopravy a úpravy suroviny.</w:t>
      </w:r>
    </w:p>
    <w:p>
      <w:pPr>
        <w:numPr>
          <w:ilvl w:val="0"/>
          <w:numId w:val="5"/>
        </w:numPr>
      </w:pPr>
      <w:r>
        <w:rPr/>
        <w:t xml:space="preserve">Organizace a řízení chodu dispečinku.</w:t>
      </w:r>
    </w:p>
    <w:p>
      <w:pPr>
        <w:numPr>
          <w:ilvl w:val="0"/>
          <w:numId w:val="5"/>
        </w:numPr>
      </w:pPr>
      <w:r>
        <w:rPr/>
        <w:t xml:space="preserve">Kontrola kvality finálního produktu.</w:t>
      </w:r>
    </w:p>
    <w:p>
      <w:pPr>
        <w:numPr>
          <w:ilvl w:val="0"/>
          <w:numId w:val="5"/>
        </w:numPr>
      </w:pPr>
      <w:r>
        <w:rPr/>
        <w:t xml:space="preserve">Organizování odborných činností při likvidaci mimořádné události nebo havárie.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21xxL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povinné - Odbnorná způsobilost podle vyhlášky č. 71/2002 Sb., o zdolávání havárií v dolech a při těžbě ropy a zemního plynu 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jednotlivých výrobních a technických provozů při lomové těžbě užitkových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dispečerské řízení a operativní zajišťování výroby na jednotlivých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průběhu výroby 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AAAD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lomové těžby</dc:title>
  <dc:description>Dispečer lomové těžby koordinuje činnosti jednotlivých výrobních a technologických provozů v organizaci provádějící povrchovou těžbu a úpravu nerostné suroviny. </dc:description>
  <dc:subject/>
  <cp:keywords/>
  <cp:category>Specializace</cp:category>
  <cp:lastModifiedBy/>
  <dcterms:created xsi:type="dcterms:W3CDTF">2017-11-22T09:36:07+01:00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