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kapitálových obchodů</w:t>
      </w:r>
      <w:bookmarkEnd w:id="1"/>
    </w:p>
    <w:p>
      <w:pPr/>
      <w:r>
        <w:rPr/>
        <w:t xml:space="preserve">Specialista kapitálových obchodů vykonává odborné činnosti v oblasti finančních kapitálových a majetkových transakcí.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Insurance or reinsurance broker, Pojišťovací makléř</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Zajišťování a realizace investiční a majetkové strategie.</w:t>
      </w:r>
    </w:p>
    <w:p>
      <w:pPr>
        <w:numPr>
          <w:ilvl w:val="0"/>
          <w:numId w:val="5"/>
        </w:numPr>
      </w:pPr>
      <w:r>
        <w:rPr/>
        <w:t xml:space="preserve">Zpracování dokumentací o finančních operacích a obchodních transakcích.</w:t>
      </w:r>
    </w:p>
    <w:p>
      <w:pPr>
        <w:numPr>
          <w:ilvl w:val="0"/>
          <w:numId w:val="5"/>
        </w:numPr>
      </w:pPr>
      <w:r>
        <w:rPr/>
        <w:t xml:space="preserve">Provádění průzkumu kapitálových trhů.</w:t>
      </w:r>
    </w:p>
    <w:p>
      <w:pPr>
        <w:numPr>
          <w:ilvl w:val="0"/>
          <w:numId w:val="5"/>
        </w:numPr>
      </w:pPr>
      <w:r>
        <w:rPr/>
        <w:t xml:space="preserve">Koordinace a zajišťování činností spojených s řízením portfolia investic na kapitálovém a peněžním trhu s řízením likvidity společnosti.</w:t>
      </w:r>
    </w:p>
    <w:p>
      <w:pPr>
        <w:numPr>
          <w:ilvl w:val="0"/>
          <w:numId w:val="5"/>
        </w:numPr>
      </w:pPr>
      <w:r>
        <w:rPr/>
        <w:t xml:space="preserve">Vedení příslušné dokumentace.</w:t>
      </w:r>
    </w:p>
    <w:p/>
    <w:p>
      <w:pPr>
        <w:pStyle w:val="Heading2"/>
      </w:pPr>
      <w:bookmarkStart w:id="3" w:name="_Toc3"/>
      <w:r>
        <w:t>CZ-ISCO</w:t>
      </w:r>
      <w:bookmarkEnd w:id="3"/>
    </w:p>
    <w:p>
      <w:pPr>
        <w:numPr>
          <w:ilvl w:val="0"/>
          <w:numId w:val="5"/>
        </w:numPr>
      </w:pPr>
      <w:r>
        <w:rPr/>
        <w:t xml:space="preserve">Metodici a analytici finančního trhu</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24131</w:t>
            </w:r>
          </w:p>
        </w:tc>
        <w:tc>
          <w:tcPr>
            <w:tcW w:w="2000" w:type="dxa"/>
          </w:tcPr>
          <w:p>
            <w:pPr/>
            <w:r>
              <w:rPr/>
              <w:t xml:space="preserve">Metodici a analytici finančního trhu</w:t>
            </w:r>
          </w:p>
        </w:tc>
        <w:tc>
          <w:tcPr>
            <w:tcW w:w="1000" w:type="dxa"/>
          </w:tcPr>
          <w:p>
            <w:pPr>
              <w:jc w:val="center"/>
            </w:pPr>
            <w:r>
              <w:rPr/>
              <w:t xml:space="preserve">-</w:t>
            </w:r>
          </w:p>
        </w:tc>
        <w:tc>
          <w:tcPr>
            <w:tcW w:w="1000" w:type="dxa"/>
          </w:tcPr>
          <w:p>
            <w:pPr>
              <w:jc w:val="center"/>
            </w:pPr>
            <w:r>
              <w:rPr/>
              <w:t xml:space="preserve">70 548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ve skupině oborů právo, právní a veřejnosprávní činnost</w:t>
            </w:r>
          </w:p>
        </w:tc>
        <w:tc>
          <w:tcPr>
            <w:tcW w:w="2000" w:type="dxa"/>
          </w:tcPr>
          <w:p>
            <w:pPr>
              <w:jc w:val="center"/>
            </w:pPr>
            <w:r>
              <w:rPr/>
              <w:t xml:space="preserve">68xxT</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i13.D.6451</w:t>
            </w:r>
          </w:p>
        </w:tc>
        <w:tc>
          <w:tcPr>
            <w:tcW w:w="3000" w:type="dxa"/>
          </w:tcPr>
          <w:p>
            <w:pPr/>
            <w:r>
              <w:rPr/>
              <w:t xml:space="preserve">Zpracovávání analýz vývoje kapitálového a peněžního trhu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i13.D.8450</w:t>
            </w:r>
          </w:p>
        </w:tc>
        <w:tc>
          <w:tcPr>
            <w:tcW w:w="3000" w:type="dxa"/>
          </w:tcPr>
          <w:p>
            <w:pPr/>
            <w:r>
              <w:rPr/>
              <w:t xml:space="preserve">Vedení požadovaných agend a evidencí (dokumentace o finančních operacích a obchodních transakcích na kapitálových trzích apod. )</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i13.D.8459</w:t>
            </w:r>
          </w:p>
        </w:tc>
        <w:tc>
          <w:tcPr>
            <w:tcW w:w="3000" w:type="dxa"/>
          </w:tcPr>
          <w:p>
            <w:pPr/>
            <w:r>
              <w:rPr/>
              <w:t xml:space="preserve">Provádění průzkumu kapitálových a finančních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i13.C.2451</w:t>
            </w:r>
          </w:p>
        </w:tc>
        <w:tc>
          <w:tcPr>
            <w:tcW w:w="3000" w:type="dxa"/>
          </w:tcPr>
          <w:p>
            <w:pPr/>
            <w:r>
              <w:rPr/>
              <w:t xml:space="preserve">Realizace investičních záměrů společnosti v oblasti investování na kapitálových trzích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i13.D.2451</w:t>
            </w:r>
          </w:p>
        </w:tc>
        <w:tc>
          <w:tcPr>
            <w:tcW w:w="3000" w:type="dxa"/>
          </w:tcPr>
          <w:p>
            <w:pPr/>
            <w:r>
              <w:rPr/>
              <w:t xml:space="preserve">Koordinace činností ovlivňujících vývoj portfolia na kapitálových trzích a činností majících vliv na vývoj likvidity společnosti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i11._.0046</w:t>
            </w:r>
          </w:p>
        </w:tc>
        <w:tc>
          <w:tcPr>
            <w:tcW w:w="3000" w:type="dxa"/>
          </w:tcPr>
          <w:p>
            <w:pPr/>
            <w:r>
              <w:rPr/>
              <w:t xml:space="preserve">investiční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E64FD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kapitálových obchodů</dc:title>
  <dc:description>Specialista kapitálových obchodů vykonává odborné činnosti v oblasti finančních kapitálových a majetkových transakcí.</dc:description>
  <dc:subject/>
  <cp:keywords/>
  <cp:category>Specializace</cp:category>
  <cp:lastModifiedBy/>
  <dcterms:created xsi:type="dcterms:W3CDTF">2017-11-22T09:08:58+01:00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