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technolog</w:t>
      </w:r>
      <w:bookmarkEnd w:id="1"/>
    </w:p>
    <w:p>
      <w:pPr/>
      <w:r>
        <w:rPr/>
        <w:t xml:space="preserve">Papírenský inženýr technolog provádí komplexní stanovování technologických postupů nebo zajišťování technologické přípravy rozsáhlé výroby a zpracování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technologických postupů při výrobě a zpracování papíru a celulózy a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Stanovování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Organizace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Organizace zkoušek a ověření změn technologie.</w:t>
      </w:r>
    </w:p>
    <w:p>
      <w:pPr>
        <w:numPr>
          <w:ilvl w:val="0"/>
          <w:numId w:val="5"/>
        </w:numPr>
      </w:pPr>
      <w:r>
        <w:rPr/>
        <w:t xml:space="preserve">Organizace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papírenskou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papírenské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AC3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technolog</dc:title>
  <dc:description>Papírenský inženýr technolog provádí komplexní stanovování technologických postupů nebo zajišťování technologické přípravy rozsáhlé výroby a zpracování papíru a celulózy.</dc:description>
  <dc:subject/>
  <cp:keywords/>
  <cp:category>Specializace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