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pro národnostní menšiny</w:t>
      </w:r>
      <w:bookmarkEnd w:id="1"/>
    </w:p>
    <w:p>
      <w:pPr/>
      <w:r>
        <w:rPr/>
        <w:t xml:space="preserve">Referent specialista územně samosprávného celku pro národnostní menšiny koordinuje úkoly a priority vlády v problematice národnostních menšin v územně samosprávném celku (dále jen ÚSC), zejména v oblasti výchovné, vzdělávací a osvětové a tvoří koncepce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 a konzultační činnost na úseku problematiky národnostních menšin v oblasti výchovné, kulturní, vzdělávací, publikační a osvětové v ÚSC.</w:t>
      </w:r>
    </w:p>
    <w:p>
      <w:pPr>
        <w:numPr>
          <w:ilvl w:val="0"/>
          <w:numId w:val="5"/>
        </w:numPr>
      </w:pPr>
      <w:r>
        <w:rPr/>
        <w:t xml:space="preserve">Analytická, koncepční a kontrolní činnost  oblasti národnostních menšin v ÚSC.</w:t>
      </w:r>
    </w:p>
    <w:p>
      <w:pPr>
        <w:numPr>
          <w:ilvl w:val="0"/>
          <w:numId w:val="5"/>
        </w:numPr>
      </w:pPr>
      <w:r>
        <w:rPr/>
        <w:t xml:space="preserve">Sledování politiky Vlády ČR ve vztahu k národnostním menšinám a koordinace její realizace v ÚSC, spolupráce s příslušným orgány.</w:t>
      </w:r>
    </w:p>
    <w:p>
      <w:pPr>
        <w:numPr>
          <w:ilvl w:val="0"/>
          <w:numId w:val="5"/>
        </w:numPr>
      </w:pPr>
      <w:r>
        <w:rPr/>
        <w:t xml:space="preserve">Koordinace spolupráce orgánů a úřadů ÚSC s občanskými sdruženími národnostních menšin.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v krizových situacích týkajících se národnostních menšin v ÚSC a v souvislosti s integrace cizinců v ÚSC.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 národnostních menšin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sociálněprávního poradenství a sociální práce s občany v krizových situacích v souvislosti s integrací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EF1C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pro národnostní menšiny</dc:title>
  <dc:description>Referent specialista územně samosprávného celku pro národnostní menšiny koordinuje úkoly a priority vlády v problematice národnostních menšin v územně samosprávném celku (dále jen ÚSC), zejména v oblasti výchovné, vzdělávací a osvětové a tvoří koncepce v této oblasti.</dc:description>
  <dc:subject/>
  <cp:keywords/>
  <cp:category>Specializace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