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speciálního stavebního úřadu ve věcech staveb drah a na dráze</w:t>
      </w:r>
      <w:bookmarkEnd w:id="1"/>
    </w:p>
    <w:p>
      <w:pPr/>
      <w:r>
        <w:rPr/>
        <w:t xml:space="preserve">Referent specialista speciálního stavebního úřadu ve věcech staveb drah a na dráze (Drážního úřadu) vykonává agendu stanovenou stavebním zákonem a zákonem o dráhách.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Povolování staveb drah, kterou je  stavba cesty určené k pohybu drážních vozidel a stavba, která rozšiřuje, doplňuje, mění nebo zabezpečuje dráhu bez ohledu, zda je v obvodu dráhy či nikoliv.</w:t>
      </w:r>
    </w:p>
    <w:p>
      <w:pPr>
        <w:numPr>
          <w:ilvl w:val="0"/>
          <w:numId w:val="5"/>
        </w:numPr>
      </w:pPr>
      <w:r>
        <w:rPr/>
        <w:t xml:space="preserve">Povolování staveb na dráze, kterou jsou všechny stavby a zařízení v obvodu dráhy, bez ohledu na účel, jemuž slouží a které musí splňovat technické podmínky a požadavky bezpečnosti podle prováděcího předpisu, za podmínek stanovených stavebním zákonem.</w:t>
      </w:r>
    </w:p>
    <w:p>
      <w:pPr>
        <w:numPr>
          <w:ilvl w:val="0"/>
          <w:numId w:val="5"/>
        </w:numPr>
      </w:pPr>
      <w:r>
        <w:rPr/>
        <w:t xml:space="preserve">Zajišťování technicko bezpečnostní zkoušky k ověření způsobilosti stavby dráhy k užívání pro potřeby vydání kolaudačního souhlasu.</w:t>
      </w:r>
    </w:p>
    <w:p>
      <w:pPr>
        <w:numPr>
          <w:ilvl w:val="0"/>
          <w:numId w:val="5"/>
        </w:numPr>
      </w:pPr>
      <w:r>
        <w:rPr/>
        <w:t xml:space="preserve">Vydávání souhlasu zřizování a provozování ostatních staveb, které zčásti zasahují obvodu staveb dráhy a na dráze.</w:t>
      </w:r>
    </w:p>
    <w:p/>
    <w:p>
      <w:pPr>
        <w:pStyle w:val="Heading2"/>
      </w:pPr>
      <w:bookmarkStart w:id="3" w:name="_Toc3"/>
      <w:r>
        <w:t>CZ-ISCO</w:t>
      </w:r>
      <w:bookmarkEnd w:id="3"/>
    </w:p>
    <w:p>
      <w:pPr>
        <w:numPr>
          <w:ilvl w:val="0"/>
          <w:numId w:val="5"/>
        </w:numPr>
      </w:pPr>
      <w:r>
        <w:rPr/>
        <w:t xml:space="preserve">Stavební inženýři výstavby inženýrských děl</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21428</w:t>
            </w:r>
          </w:p>
        </w:tc>
        <w:tc>
          <w:tcPr>
            <w:tcW w:w="2000" w:type="dxa"/>
          </w:tcPr>
          <w:p>
            <w:pPr/>
            <w:r>
              <w:rPr/>
              <w:t xml:space="preserve">Stavební inženýři výstavby inženýrských děl</w:t>
            </w:r>
          </w:p>
        </w:tc>
        <w:tc>
          <w:tcPr>
            <w:tcW w:w="1000" w:type="dxa"/>
          </w:tcPr>
          <w:p>
            <w:pPr>
              <w:jc w:val="center"/>
            </w:pPr>
            <w:r>
              <w:rPr/>
              <w:t xml:space="preserve">-</w:t>
            </w:r>
          </w:p>
        </w:tc>
        <w:tc>
          <w:tcPr>
            <w:tcW w:w="1000" w:type="dxa"/>
          </w:tcPr>
          <w:p>
            <w:pPr>
              <w:jc w:val="center"/>
            </w:pPr>
            <w:r>
              <w:rPr/>
              <w:t xml:space="preserve">64 050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Výkon speciálního stavebního úřadu na dráhách</w:t>
            </w:r>
          </w:p>
        </w:tc>
        <w:tc>
          <w:tcPr>
            <w:tcW w:w="2000" w:type="dxa"/>
          </w:tcPr>
          <w:p>
            <w:pPr>
              <w:jc w:val="center"/>
            </w:pPr>
            <w:r>
              <w:rPr/>
              <w:t xml:space="preserve">11</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dopravní a spojová infrastruktura</w:t>
            </w:r>
          </w:p>
        </w:tc>
        <w:tc>
          <w:tcPr>
            <w:tcW w:w="2000" w:type="dxa"/>
          </w:tcPr>
          <w:p>
            <w:pPr>
              <w:jc w:val="center"/>
            </w:pPr>
            <w:r>
              <w:rPr/>
              <w:t xml:space="preserve">3706R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i21.D.9673</w:t>
            </w:r>
          </w:p>
        </w:tc>
        <w:tc>
          <w:tcPr>
            <w:tcW w:w="3000" w:type="dxa"/>
          </w:tcPr>
          <w:p>
            <w:pPr/>
            <w:r>
              <w:rPr/>
              <w:t xml:space="preserve">Zpracovávání znaleckých posudků v oboru stavebnictví, v rámci zajišťování činností na úseku výstavby a stavebního dohledu spadajících do kompetence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i21.D.9050</w:t>
            </w:r>
          </w:p>
        </w:tc>
        <w:tc>
          <w:tcPr>
            <w:tcW w:w="3000" w:type="dxa"/>
          </w:tcPr>
          <w:p>
            <w:pPr/>
            <w:r>
              <w:rPr/>
              <w:t xml:space="preserve">Vypracování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i21.D.1051</w:t>
            </w:r>
          </w:p>
        </w:tc>
        <w:tc>
          <w:tcPr>
            <w:tcW w:w="3000" w:type="dxa"/>
          </w:tcPr>
          <w:p>
            <w:pPr/>
            <w:r>
              <w:rPr/>
              <w:t xml:space="preserve">Orientace v právních předpisech souvisejících s agendou staveb drah a na dráze</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i21._.0083</w:t>
            </w:r>
          </w:p>
        </w:tc>
        <w:tc>
          <w:tcPr>
            <w:tcW w:w="3000" w:type="dxa"/>
          </w:tcPr>
          <w:p>
            <w:pPr/>
            <w:r>
              <w:rPr/>
              <w:t xml:space="preserve">státní správa v příslušném oboru služby nebo úřadu</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D61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speciálního stavebního úřadu ve věcech staveb drah a na dráze</dc:title>
  <dc:description>Referent specialista speciálního stavebního úřadu ve věcech staveb drah a na dráze (Drážního úřadu) vykonává agendu stanovenou stavebním zákonem a zákonem o dráhách. </dc:description>
  <dc:subject/>
  <cp:keywords/>
  <cp:category>Specializace</cp:category>
  <cp:lastModifiedBy/>
  <dcterms:created xsi:type="dcterms:W3CDTF">2017-11-22T09:33:06+01:00</dcterms:created>
  <dcterms:modified xsi:type="dcterms:W3CDTF">2017-11-22T09:43:45+01:00</dcterms:modified>
</cp:coreProperties>
</file>

<file path=docProps/custom.xml><?xml version="1.0" encoding="utf-8"?>
<Properties xmlns="http://schemas.openxmlformats.org/officeDocument/2006/custom-properties" xmlns:vt="http://schemas.openxmlformats.org/officeDocument/2006/docPropsVTypes"/>
</file>