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Chemický technik pro kompozitní materiály</w:t>
      </w:r>
      <w:bookmarkEnd w:id="1"/>
    </w:p>
    <w:p>
      <w:pPr/>
      <w:r>
        <w:rPr/>
        <w:t xml:space="preserve">Chemický technik pro kompozitní materiály řídí a kontroluje jednoduché nebo dílčí technologické operace podle standardních postupů pro výrobu kompozitu.</w:t>
      </w:r>
    </w:p>
    <w:p/>
    <w:tbl>
      <w:tblGrid>
        <w:gridCol w:w="3000" w:type="dxa"/>
        <w:gridCol w:w="6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r>
              <w:rPr>
                <w:b w:val="1"/>
                <w:bCs w:val="1"/>
              </w:rPr>
              <w:t xml:space="preserve">Odborný směr:</w:t>
            </w:r>
          </w:p>
        </w:tc>
        <w:tc>
          <w:tcPr>
            <w:tcW w:w="6000" w:type="dxa"/>
          </w:tcPr>
          <w:p>
            <w:pPr/>
            <w:r>
              <w:rPr/>
              <w:t xml:space="preserve">Chemie</w:t>
            </w:r>
          </w:p>
        </w:tc>
      </w:tr>
      <w:tr>
        <w:trPr/>
        <w:tc>
          <w:tcPr/>
          <w:p>
            <w:pPr/>
            <w:r>
              <w:rPr>
                <w:b w:val="1"/>
                <w:bCs w:val="1"/>
              </w:rPr>
              <w:t xml:space="preserve">Odborný podsměr:</w:t>
            </w:r>
          </w:p>
        </w:tc>
        <w:tc>
          <w:tcPr/>
          <w:p>
            <w:pPr/>
            <w:r>
              <w:rPr/>
              <w:t xml:space="preserve">výroba chemických produktů</w:t>
            </w:r>
          </w:p>
        </w:tc>
      </w:tr>
      <w:tr>
        <w:trPr/>
        <w:tc>
          <w:tcPr/>
          <w:p>
            <w:pPr/>
            <w:r>
              <w:rPr>
                <w:b w:val="1"/>
                <w:bCs w:val="1"/>
              </w:rPr>
              <w:t xml:space="preserve">Kvalifikační úroveň:</w:t>
            </w:r>
          </w:p>
        </w:tc>
        <w:tc>
          <w:tcPr/>
          <w:p>
            <w:pPr/>
            <w:r>
              <w:rPr/>
              <w:t xml:space="preserve">Střední vzdělání s maturitní zkouškou; Střední vzdělání s výučním listem i maturitní zkouškou</w:t>
            </w:r>
          </w:p>
        </w:tc>
      </w:tr>
      <w:tr>
        <w:trPr/>
        <w:tc>
          <w:tcPr/>
          <w:p>
            <w:pPr/>
            <w:r>
              <w:rPr>
                <w:b w:val="1"/>
                <w:bCs w:val="1"/>
              </w:rPr>
              <w:t xml:space="preserve">Alternativní názvy:</w:t>
            </w:r>
          </w:p>
        </w:tc>
        <w:tc>
          <w:tcPr/>
          <w:p>
            <w:pPr/>
            <w:r>
              <w:rPr/>
              <w:t xml:space="preserve">Chemický technolog</w:t>
            </w:r>
          </w:p>
        </w:tc>
      </w:tr>
      <w:tr>
        <w:trPr/>
        <w:tc>
          <w:tcPr/>
          <w:p>
            <w:pPr/>
            <w:r>
              <w:rPr>
                <w:b w:val="1"/>
                <w:bCs w:val="1"/>
              </w:rPr>
              <w:t xml:space="preserve">Nadřízené povolání:</w:t>
            </w:r>
          </w:p>
        </w:tc>
        <w:tc>
          <w:tcPr/>
          <w:p>
            <w:pPr/>
            <w:r>
              <w:rPr/>
              <w:t xml:space="preserve">Chemický technik</w:t>
            </w:r>
          </w:p>
        </w:tc>
      </w:tr>
      <w:tr>
        <w:trPr/>
        <w:tc>
          <w:tcPr/>
          <w:p>
            <w:pPr/>
            <w:r>
              <w:rPr>
                <w:b w:val="1"/>
                <w:bCs w:val="1"/>
              </w:rPr>
              <w:t xml:space="preserve">Příbuzné specializace:</w:t>
            </w:r>
          </w:p>
        </w:tc>
        <w:tc>
          <w:tcPr/>
          <w:p>
            <w:pPr/>
            <w:r>
              <w:rPr/>
              <w:t xml:space="preserve">Chemický technik pro environment, Chemický technik mistr, Chemický technik environmentální geochemik, Chemický technik operátor, Chemický technik produktmanažer, Chemický technik analytik, Chemický technik pro povrchové úpravy materiálů, Chemický technik manažer provozu, Chemický technik pro kompozitní materiály, Chemický technik BOZP, Chemický technik plánovač, Chemický technik technolog, Chemický technik pro povrchové úpravy materiálů</w:t>
            </w:r>
          </w:p>
        </w:tc>
      </w:tr>
      <w:tr>
        <w:trPr/>
        <w:tc>
          <w:tcPr/>
          <w:p>
            <w:pPr/>
            <w:r>
              <w:rPr>
                <w:b w:val="1"/>
                <w:bCs w:val="1"/>
              </w:rPr>
              <w:t xml:space="preserve">Regulovaná jednotka práce:</w:t>
            </w:r>
          </w:p>
        </w:tc>
        <w:tc>
          <w:tcPr/>
          <w:p>
            <w:pPr/>
            <w:r>
              <w:rPr/>
              <w:t xml:space="preserve">ne</w:t>
            </w:r>
          </w:p>
        </w:tc>
      </w:tr>
    </w:tbl>
    <w:p/>
    <w:p>
      <w:pPr>
        <w:pStyle w:val="Heading2"/>
      </w:pPr>
      <w:bookmarkStart w:id="2" w:name="_Toc2"/>
      <w:r>
        <w:t>Pracovní činnosti</w:t>
      </w:r>
      <w:bookmarkEnd w:id="2"/>
    </w:p>
    <w:p>
      <w:pPr>
        <w:numPr>
          <w:ilvl w:val="0"/>
          <w:numId w:val="5"/>
        </w:numPr>
      </w:pPr>
      <w:r>
        <w:rPr/>
        <w:t xml:space="preserve">Stanovení pracovních postupů prostředků a metod kompozitních materiálů.</w:t>
      </w:r>
    </w:p>
    <w:p>
      <w:pPr>
        <w:numPr>
          <w:ilvl w:val="0"/>
          <w:numId w:val="5"/>
        </w:numPr>
      </w:pPr>
      <w:r>
        <w:rPr/>
        <w:t xml:space="preserve">Stanovení jednoduchých nebo opakovaných technologických postupů chemického procesu.</w:t>
      </w:r>
    </w:p>
    <w:p>
      <w:pPr>
        <w:numPr>
          <w:ilvl w:val="0"/>
          <w:numId w:val="5"/>
        </w:numPr>
      </w:pPr>
      <w:r>
        <w:rPr/>
        <w:t xml:space="preserve">Volba technologických podmínek a parametrů pro obsluhu a řízení technologických procesů výroby kompozitních materiálů.</w:t>
      </w:r>
    </w:p>
    <w:p>
      <w:pPr>
        <w:numPr>
          <w:ilvl w:val="0"/>
          <w:numId w:val="5"/>
        </w:numPr>
      </w:pPr>
      <w:r>
        <w:rPr/>
        <w:t xml:space="preserve">Určování parametrů technologického režimu s ohledem na použité suroviny.</w:t>
      </w:r>
    </w:p>
    <w:p>
      <w:pPr>
        <w:numPr>
          <w:ilvl w:val="0"/>
          <w:numId w:val="5"/>
        </w:numPr>
      </w:pPr>
      <w:r>
        <w:rPr/>
        <w:t xml:space="preserve">Posuzování hodnot a parametrů při obsluze a řízení technologických procesů výroby kompozitních materiálů.</w:t>
      </w:r>
    </w:p>
    <w:p>
      <w:pPr>
        <w:numPr>
          <w:ilvl w:val="0"/>
          <w:numId w:val="5"/>
        </w:numPr>
      </w:pPr>
      <w:r>
        <w:rPr/>
        <w:t xml:space="preserve">Samostatné provedení výstupní kontroly a vyhodnocení závad.</w:t>
      </w:r>
    </w:p>
    <w:p>
      <w:pPr>
        <w:numPr>
          <w:ilvl w:val="0"/>
          <w:numId w:val="5"/>
        </w:numPr>
      </w:pPr>
      <w:r>
        <w:rPr/>
        <w:t xml:space="preserve"/>
      </w:r>
    </w:p>
    <w:p/>
    <w:p>
      <w:pPr>
        <w:pStyle w:val="Heading2"/>
      </w:pPr>
      <w:bookmarkStart w:id="3" w:name="_Toc3"/>
      <w:r>
        <w:t>CZ-ISCO</w:t>
      </w:r>
      <w:bookmarkEnd w:id="3"/>
    </w:p>
    <w:p>
      <w:pPr>
        <w:numPr>
          <w:ilvl w:val="0"/>
          <w:numId w:val="5"/>
        </w:numPr>
      </w:pPr>
      <w:r>
        <w:rPr/>
        <w:t xml:space="preserve">Technici v oblasti chemie (kromě chemického inženýrství)</w:t>
      </w:r>
    </w:p>
    <w:p>
      <w:pPr>
        <w:numPr>
          <w:ilvl w:val="0"/>
          <w:numId w:val="5"/>
        </w:numPr>
      </w:pPr>
      <w:r>
        <w:rPr/>
        <w:t xml:space="preserve">Technici v chemických a fyzikálních vědách (kromě chemického inženýrství)</w:t>
      </w:r>
    </w:p>
    <w:p/>
    <w:p>
      <w:pPr>
        <w:pStyle w:val="Heading3"/>
      </w:pPr>
      <w:bookmarkStart w:id="4" w:name="_Toc4"/>
      <w:r>
        <w:t>Hrubé měsíční mzdy podle krajů v roce 2025</w:t>
      </w:r>
      <w:bookmarkEnd w:id="4"/>
    </w:p>
    <w:p>
      <w:pPr>
        <w:pStyle w:val="Heading4"/>
      </w:pPr>
      <w:bookmarkStart w:id="5" w:name="_Toc5"/>
      <w:r>
        <w:t>Technici v chemických a fyzikálních vědách (kromě chemického inženýrství) (CZ-ISCO 3111)</w:t>
      </w:r>
      <w:bookmarkEnd w:id="5"/>
    </w:p>
    <w:tbl>
      <w:tblGrid>
        <w:gridCol w:w="2400" w:type="dxa"/>
        <w:gridCol w:w="1100" w:type="dxa"/>
        <w:gridCol w:w="1100" w:type="dxa"/>
        <w:gridCol w:w="1100" w:type="dxa"/>
        <w:gridCol w:w="1100" w:type="dxa"/>
        <w:gridCol w:w="1100" w:type="dxa"/>
        <w:gridCol w:w="1100" w:type="dxa"/>
      </w:tblGrid>
      <w:tblPr>
        <w:jc w:val="start"/>
        <w:tblW w:w="0" w:type="auto"/>
        <w:tblCellSpacing w:w="50" w:type="dxa"/>
        <w:tblLayout w:type="autofit"/>
        <w:bidiVisual w:val="0"/>
        <w:tblCellMar>
          <w:top w:w="80" w:type="dxa"/>
          <w:left w:w="80" w:type="dxa"/>
          <w:right w:w="80" w:type="dxa"/>
          <w:bottom w:w="80" w:type="dxa"/>
        </w:tblCellMar>
      </w:tblPr>
      <w:tr>
        <w:trPr/>
        <w:tc>
          <w:tcPr>
            <w:tcW w:w="2400" w:type="dxa"/>
          </w:tcPr>
          <w:p/>
        </w:tc>
        <w:tc>
          <w:tcPr>
            <w:tcW w:w="3300" w:type="dxa"/>
            <w:gridSpan w:val="3"/>
          </w:tcPr>
          <w:p>
            <w:pPr>
              <w:jc w:val="center"/>
            </w:pPr>
            <w:r>
              <w:rPr>
                <w:b w:val="1"/>
                <w:bCs w:val="1"/>
              </w:rPr>
              <w:t xml:space="preserve">Mzdová sféra</w:t>
            </w:r>
          </w:p>
        </w:tc>
        <w:tc>
          <w:tcPr>
            <w:tcW w:w="3300" w:type="dxa"/>
            <w:gridSpan w:val="3"/>
          </w:tcPr>
          <w:p>
            <w:pPr>
              <w:jc w:val="center"/>
            </w:pPr>
            <w:r>
              <w:rPr>
                <w:b w:val="1"/>
                <w:bCs w:val="1"/>
              </w:rPr>
              <w:t xml:space="preserve">Platová sféra</w:t>
            </w:r>
          </w:p>
        </w:tc>
      </w:tr>
      <w:tr>
        <w:trPr/>
        <w:tc>
          <w:tcPr>
            <w:tcW w:w="2400" w:type="dxa"/>
          </w:tcPr>
          <w:p>
            <w:pPr/>
            <w:r>
              <w:rPr>
                <w:b w:val="1"/>
                <w:bCs w:val="1"/>
              </w:rPr>
              <w:t xml:space="preserve">Kraj</w:t>
            </w:r>
          </w:p>
        </w:tc>
        <w:tc>
          <w:tcPr>
            <w:tcW w:w="1100" w:type="dxa"/>
          </w:tcPr>
          <w:p>
            <w:pPr>
              <w:jc w:val="center"/>
            </w:pPr>
            <w:r>
              <w:rPr>
                <w:b w:val="1"/>
                <w:bCs w:val="1"/>
              </w:rPr>
              <w:t xml:space="preserve">Od</w:t>
            </w:r>
          </w:p>
        </w:tc>
        <w:tc>
          <w:tcPr>
            <w:tcW w:w="1100" w:type="dxa"/>
          </w:tcPr>
          <w:p>
            <w:pPr>
              <w:jc w:val="center"/>
            </w:pPr>
            <w:r>
              <w:rPr>
                <w:b w:val="1"/>
                <w:bCs w:val="1"/>
              </w:rPr>
              <w:t xml:space="preserve">Medián</w:t>
            </w:r>
          </w:p>
        </w:tc>
        <w:tc>
          <w:tcPr>
            <w:tcW w:w="1100" w:type="dxa"/>
          </w:tcPr>
          <w:p>
            <w:pPr>
              <w:jc w:val="center"/>
            </w:pPr>
            <w:r>
              <w:rPr>
                <w:b w:val="1"/>
                <w:bCs w:val="1"/>
              </w:rPr>
              <w:t xml:space="preserve">Do</w:t>
            </w:r>
          </w:p>
        </w:tc>
        <w:tc>
          <w:tcPr>
            <w:tcW w:w="1100" w:type="dxa"/>
          </w:tcPr>
          <w:p>
            <w:pPr>
              <w:jc w:val="center"/>
            </w:pPr>
            <w:r>
              <w:rPr>
                <w:b w:val="1"/>
                <w:bCs w:val="1"/>
              </w:rPr>
              <w:t xml:space="preserve">Od</w:t>
            </w:r>
          </w:p>
        </w:tc>
        <w:tc>
          <w:tcPr>
            <w:tcW w:w="1100" w:type="dxa"/>
          </w:tcPr>
          <w:p>
            <w:pPr>
              <w:jc w:val="center"/>
            </w:pPr>
            <w:r>
              <w:rPr>
                <w:b w:val="1"/>
                <w:bCs w:val="1"/>
              </w:rPr>
              <w:t xml:space="preserve">Medián</w:t>
            </w:r>
          </w:p>
        </w:tc>
        <w:tc>
          <w:tcPr>
            <w:tcW w:w="1100" w:type="dxa"/>
          </w:tcPr>
          <w:p>
            <w:pPr>
              <w:jc w:val="center"/>
            </w:pPr>
            <w:r>
              <w:rPr>
                <w:b w:val="1"/>
                <w:bCs w:val="1"/>
              </w:rPr>
              <w:t xml:space="preserve">Do</w:t>
            </w:r>
          </w:p>
        </w:tc>
      </w:tr>
      <w:tr>
        <w:trPr/>
        <w:tc>
          <w:tcPr>
            <w:tcW w:w="2000" w:type="dxa"/>
          </w:tcPr>
          <w:p>
            <w:pPr/>
            <w:r>
              <w:rPr/>
              <w:t xml:space="preserve">Hlavní město Praha</w:t>
            </w:r>
          </w:p>
        </w:tc>
        <w:tc>
          <w:tcPr>
            <w:tcW w:w="1000" w:type="dxa"/>
          </w:tcPr>
          <w:p>
            <w:pPr>
              <w:jc w:val="center"/>
            </w:pPr>
            <w:r>
              <w:rPr/>
              <w:t xml:space="preserve">32 090 Kč</w:t>
            </w:r>
          </w:p>
        </w:tc>
        <w:tc>
          <w:tcPr>
            <w:tcW w:w="1000" w:type="dxa"/>
          </w:tcPr>
          <w:p>
            <w:pPr>
              <w:jc w:val="center"/>
            </w:pPr>
            <w:r>
              <w:rPr/>
              <w:t xml:space="preserve">49 534 Kč</w:t>
            </w:r>
          </w:p>
        </w:tc>
        <w:tc>
          <w:tcPr>
            <w:tcW w:w="1000" w:type="dxa"/>
          </w:tcPr>
          <w:p>
            <w:pPr>
              <w:jc w:val="center"/>
            </w:pPr>
            <w:r>
              <w:rPr>
                <w:sz w:val="16"/>
                <w:szCs w:val="16"/>
              </w:rPr>
              <w:t xml:space="preserve">102 021 Kč</w:t>
            </w:r>
          </w:p>
        </w:tc>
        <w:tc>
          <w:tcPr>
            <w:tcW w:w="1000" w:type="dxa"/>
          </w:tcPr>
          <w:p/>
        </w:tc>
        <w:tc>
          <w:tcPr>
            <w:tcW w:w="1000" w:type="dxa"/>
          </w:tcPr>
          <w:p/>
        </w:tc>
        <w:tc>
          <w:tcPr>
            <w:tcW w:w="1000" w:type="dxa"/>
          </w:tcPr>
          <w:p/>
        </w:tc>
      </w:tr>
      <w:tr>
        <w:trPr/>
        <w:tc>
          <w:tcPr>
            <w:tcW w:w="2000" w:type="dxa"/>
          </w:tcPr>
          <w:p>
            <w:pPr/>
            <w:r>
              <w:rPr/>
              <w:t xml:space="preserve">Liberecký kraj</w:t>
            </w:r>
          </w:p>
        </w:tc>
        <w:tc>
          <w:tcPr>
            <w:tcW w:w="1000" w:type="dxa"/>
          </w:tcPr>
          <w:p>
            <w:pPr>
              <w:jc w:val="center"/>
            </w:pPr>
            <w:r>
              <w:rPr/>
              <w:t xml:space="preserve">41 856 Kč</w:t>
            </w:r>
          </w:p>
        </w:tc>
        <w:tc>
          <w:tcPr>
            <w:tcW w:w="1000" w:type="dxa"/>
          </w:tcPr>
          <w:p>
            <w:pPr>
              <w:jc w:val="center"/>
            </w:pPr>
            <w:r>
              <w:rPr/>
              <w:t xml:space="preserve">57 653 Kč</w:t>
            </w:r>
          </w:p>
        </w:tc>
        <w:tc>
          <w:tcPr>
            <w:tcW w:w="1000" w:type="dxa"/>
          </w:tcPr>
          <w:p>
            <w:pPr>
              <w:jc w:val="center"/>
            </w:pPr>
            <w:r>
              <w:rPr/>
              <w:t xml:space="preserve">82 397 Kč</w:t>
            </w:r>
          </w:p>
        </w:tc>
        <w:tc>
          <w:tcPr>
            <w:tcW w:w="1000" w:type="dxa"/>
          </w:tcPr>
          <w:p/>
        </w:tc>
        <w:tc>
          <w:tcPr>
            <w:tcW w:w="1000" w:type="dxa"/>
          </w:tcPr>
          <w:p/>
        </w:tc>
        <w:tc>
          <w:tcPr>
            <w:tcW w:w="1000" w:type="dxa"/>
          </w:tcPr>
          <w:p/>
        </w:tc>
      </w:tr>
      <w:tr>
        <w:trPr/>
        <w:tc>
          <w:tcPr>
            <w:tcW w:w="2000" w:type="dxa"/>
          </w:tcPr>
          <w:p>
            <w:pPr/>
            <w:r>
              <w:rPr/>
              <w:t xml:space="preserve">Královéhradecký kraj</w:t>
            </w:r>
          </w:p>
        </w:tc>
        <w:tc>
          <w:tcPr>
            <w:tcW w:w="1000" w:type="dxa"/>
          </w:tcPr>
          <w:p>
            <w:pPr>
              <w:jc w:val="center"/>
            </w:pPr>
            <w:r>
              <w:rPr/>
              <w:t xml:space="preserve">26 872 Kč</w:t>
            </w:r>
          </w:p>
        </w:tc>
        <w:tc>
          <w:tcPr>
            <w:tcW w:w="1000" w:type="dxa"/>
          </w:tcPr>
          <w:p>
            <w:pPr>
              <w:jc w:val="center"/>
            </w:pPr>
            <w:r>
              <w:rPr/>
              <w:t xml:space="preserve">48 951 Kč</w:t>
            </w:r>
          </w:p>
        </w:tc>
        <w:tc>
          <w:tcPr>
            <w:tcW w:w="1000" w:type="dxa"/>
          </w:tcPr>
          <w:p>
            <w:pPr>
              <w:jc w:val="center"/>
            </w:pPr>
            <w:r>
              <w:rPr/>
              <w:t xml:space="preserve">70 966 Kč</w:t>
            </w:r>
          </w:p>
        </w:tc>
        <w:tc>
          <w:tcPr>
            <w:tcW w:w="1000" w:type="dxa"/>
          </w:tcPr>
          <w:p/>
        </w:tc>
        <w:tc>
          <w:tcPr>
            <w:tcW w:w="1000" w:type="dxa"/>
          </w:tcPr>
          <w:p/>
        </w:tc>
        <w:tc>
          <w:tcPr>
            <w:tcW w:w="1000" w:type="dxa"/>
          </w:tcPr>
          <w:p/>
        </w:tc>
      </w:tr>
      <w:tr>
        <w:trPr/>
        <w:tc>
          <w:tcPr>
            <w:tcW w:w="2000" w:type="dxa"/>
          </w:tcPr>
          <w:p>
            <w:pPr/>
            <w:r>
              <w:rPr/>
              <w:t xml:space="preserve">Kraj Vysočina</w:t>
            </w:r>
          </w:p>
        </w:tc>
        <w:tc>
          <w:tcPr>
            <w:tcW w:w="1000" w:type="dxa"/>
          </w:tcPr>
          <w:p>
            <w:pPr>
              <w:jc w:val="center"/>
            </w:pPr>
            <w:r>
              <w:rPr/>
              <w:t xml:space="preserve">32 218 Kč</w:t>
            </w:r>
          </w:p>
        </w:tc>
        <w:tc>
          <w:tcPr>
            <w:tcW w:w="1000" w:type="dxa"/>
          </w:tcPr>
          <w:p>
            <w:pPr>
              <w:jc w:val="center"/>
            </w:pPr>
            <w:r>
              <w:rPr/>
              <w:t xml:space="preserve">51 486 Kč</w:t>
            </w:r>
          </w:p>
        </w:tc>
        <w:tc>
          <w:tcPr>
            <w:tcW w:w="1000" w:type="dxa"/>
          </w:tcPr>
          <w:p>
            <w:pPr>
              <w:jc w:val="center"/>
            </w:pPr>
            <w:r>
              <w:rPr/>
              <w:t xml:space="preserve">70 703 Kč</w:t>
            </w:r>
          </w:p>
        </w:tc>
        <w:tc>
          <w:tcPr>
            <w:tcW w:w="1000" w:type="dxa"/>
          </w:tcPr>
          <w:p/>
        </w:tc>
        <w:tc>
          <w:tcPr>
            <w:tcW w:w="1000" w:type="dxa"/>
          </w:tcPr>
          <w:p/>
        </w:tc>
        <w:tc>
          <w:tcPr>
            <w:tcW w:w="1000" w:type="dxa"/>
          </w:tcPr>
          <w:p/>
        </w:tc>
      </w:tr>
      <w:tr>
        <w:trPr/>
        <w:tc>
          <w:tcPr>
            <w:tcW w:w="2000" w:type="dxa"/>
          </w:tcPr>
          <w:p>
            <w:pPr/>
            <w:r>
              <w:rPr/>
              <w:t xml:space="preserve">Zlínský kraj</w:t>
            </w:r>
          </w:p>
        </w:tc>
        <w:tc>
          <w:tcPr>
            <w:tcW w:w="1000" w:type="dxa"/>
          </w:tcPr>
          <w:p>
            <w:pPr>
              <w:jc w:val="center"/>
            </w:pPr>
            <w:r>
              <w:rPr/>
              <w:t xml:space="preserve">32 022 Kč</w:t>
            </w:r>
          </w:p>
        </w:tc>
        <w:tc>
          <w:tcPr>
            <w:tcW w:w="1000" w:type="dxa"/>
          </w:tcPr>
          <w:p>
            <w:pPr>
              <w:jc w:val="center"/>
            </w:pPr>
            <w:r>
              <w:rPr/>
              <w:t xml:space="preserve">50 260 Kč</w:t>
            </w:r>
          </w:p>
        </w:tc>
        <w:tc>
          <w:tcPr>
            <w:tcW w:w="1000" w:type="dxa"/>
          </w:tcPr>
          <w:p>
            <w:pPr>
              <w:jc w:val="center"/>
            </w:pPr>
            <w:r>
              <w:rPr/>
              <w:t xml:space="preserve">71 656 Kč</w:t>
            </w:r>
          </w:p>
        </w:tc>
        <w:tc>
          <w:tcPr>
            <w:tcW w:w="1000" w:type="dxa"/>
          </w:tcPr>
          <w:p/>
        </w:tc>
        <w:tc>
          <w:tcPr>
            <w:tcW w:w="1000" w:type="dxa"/>
          </w:tcPr>
          <w:p/>
        </w:tc>
        <w:tc>
          <w:tcPr>
            <w:tcW w:w="1000" w:type="dxa"/>
          </w:tcPr>
          <w:p/>
        </w:tc>
      </w:tr>
    </w:tbl>
    <w:p/>
    <w:p>
      <w:pPr>
        <w:pStyle w:val="Heading3"/>
      </w:pPr>
      <w:bookmarkStart w:id="6" w:name="_Toc6"/>
      <w:r>
        <w:t>Hrubé měsíční mzdy v roce 2025 celkem</w:t>
      </w:r>
      <w:bookmarkEnd w:id="6"/>
    </w:p>
    <w:tbl>
      <w:tblGrid>
        <w:gridCol w:w="1000" w:type="dxa"/>
        <w:gridCol w:w="2000" w:type="dxa"/>
        <w:gridCol w:w="3000" w:type="dxa"/>
        <w:gridCol w:w="3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gridSpan w:val="2"/>
          </w:tcPr>
          <w:p/>
        </w:tc>
        <w:tc>
          <w:tcPr>
            <w:tcW w:w="6000" w:type="dxa"/>
            <w:gridSpan w:val="2"/>
          </w:tcPr>
          <w:p>
            <w:pPr>
              <w:jc w:val="center"/>
            </w:pPr>
            <w:r>
              <w:rPr>
                <w:b w:val="1"/>
                <w:bCs w:val="1"/>
              </w:rPr>
              <w:t xml:space="preserve">Medián za ČR celkem</w:t>
            </w:r>
          </w:p>
        </w:tc>
      </w:tr>
      <w:tr>
        <w:trPr/>
        <w:tc>
          <w:tcPr>
            <w:tcW w:w="1000" w:type="dxa"/>
          </w:tcPr>
          <w:p>
            <w:pPr/>
            <w:r>
              <w:rPr>
                <w:b w:val="1"/>
                <w:bCs w:val="1"/>
              </w:rPr>
              <w:t xml:space="preserve">CZ-ISCO</w:t>
            </w:r>
          </w:p>
        </w:tc>
        <w:tc>
          <w:tcPr>
            <w:tcW w:w="2000" w:type="dxa"/>
          </w:tcPr>
          <w:p/>
        </w:tc>
        <w:tc>
          <w:tcPr>
            <w:tcW w:w="3000" w:type="dxa"/>
          </w:tcPr>
          <w:p>
            <w:pPr>
              <w:jc w:val="center"/>
            </w:pPr>
            <w:r>
              <w:rPr>
                <w:b w:val="1"/>
                <w:bCs w:val="1"/>
              </w:rPr>
              <w:t xml:space="preserve">Mzdová sféra</w:t>
            </w:r>
          </w:p>
        </w:tc>
        <w:tc>
          <w:tcPr>
            <w:tcW w:w="3000" w:type="dxa"/>
          </w:tcPr>
          <w:p>
            <w:pPr>
              <w:jc w:val="center"/>
            </w:pPr>
            <w:r>
              <w:rPr>
                <w:b w:val="1"/>
                <w:bCs w:val="1"/>
              </w:rPr>
              <w:t xml:space="preserve">Platová sféra</w:t>
            </w:r>
          </w:p>
        </w:tc>
      </w:tr>
      <w:tr>
        <w:trPr/>
        <w:tc>
          <w:tcPr>
            <w:tcW w:w="1000" w:type="dxa"/>
          </w:tcPr>
          <w:p>
            <w:pPr>
              <w:jc w:val="center"/>
            </w:pPr>
            <w:r>
              <w:rPr/>
              <w:t xml:space="preserve">3111</w:t>
            </w:r>
          </w:p>
        </w:tc>
        <w:tc>
          <w:tcPr>
            <w:tcW w:w="2000" w:type="dxa"/>
          </w:tcPr>
          <w:p>
            <w:pPr/>
            <w:r>
              <w:rPr/>
              <w:t xml:space="preserve">Technici v chemických a fyzikálních vědách (kromě chemického inženýrství)</w:t>
            </w:r>
          </w:p>
        </w:tc>
        <w:tc>
          <w:tcPr>
            <w:tcW w:w="1000" w:type="dxa"/>
          </w:tcPr>
          <w:p>
            <w:pPr>
              <w:jc w:val="center"/>
            </w:pPr>
            <w:r>
              <w:rPr/>
              <w:t xml:space="preserve">45 213 Kč</w:t>
            </w:r>
          </w:p>
        </w:tc>
        <w:tc>
          <w:tcPr>
            <w:tcW w:w="1000" w:type="dxa"/>
          </w:tcPr>
          <w:p>
            <w:pPr>
              <w:jc w:val="center"/>
            </w:pPr>
            <w:r>
              <w:rPr/>
              <w:t xml:space="preserve">47 472 Kč</w:t>
            </w:r>
          </w:p>
        </w:tc>
      </w:tr>
      <w:tr>
        <w:trPr/>
        <w:tc>
          <w:tcPr>
            <w:tcW w:w="1000" w:type="dxa"/>
          </w:tcPr>
          <w:p>
            <w:pPr>
              <w:jc w:val="center"/>
            </w:pPr>
            <w:r>
              <w:rPr/>
              <w:t xml:space="preserve">31111</w:t>
            </w:r>
          </w:p>
        </w:tc>
        <w:tc>
          <w:tcPr>
            <w:tcW w:w="2000" w:type="dxa"/>
          </w:tcPr>
          <w:p>
            <w:pPr/>
            <w:r>
              <w:rPr/>
              <w:t xml:space="preserve">Technici v oblasti chemie (kromě chemického inženýrství)</w:t>
            </w:r>
          </w:p>
        </w:tc>
        <w:tc>
          <w:tcPr>
            <w:tcW w:w="1000" w:type="dxa"/>
          </w:tcPr>
          <w:p>
            <w:pPr>
              <w:jc w:val="center"/>
            </w:pPr>
            <w:r>
              <w:rPr/>
              <w:t xml:space="preserve">-</w:t>
            </w:r>
          </w:p>
        </w:tc>
        <w:tc>
          <w:tcPr>
            <w:tcW w:w="1000" w:type="dxa"/>
          </w:tcPr>
          <w:p>
            <w:pPr>
              <w:jc w:val="center"/>
            </w:pPr>
            <w:r>
              <w:rPr/>
              <w:t xml:space="preserve">37 292 Kč</w:t>
            </w:r>
          </w:p>
        </w:tc>
      </w:tr>
    </w:tbl>
    <w:p/>
    <w:p>
      <w:pPr>
        <w:pStyle w:val="Heading2"/>
      </w:pPr>
      <w:bookmarkStart w:id="7" w:name="_Toc7"/>
      <w:r>
        <w:t>ESCO</w:t>
      </w:r>
      <w:bookmarkEnd w:id="7"/>
    </w:p>
    <w:tbl>
      <w:tblGrid>
        <w:gridCol w:w="3000" w:type="dxa"/>
        <w:gridCol w:w="3000" w:type="dxa"/>
        <w:gridCol w:w="3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jc w:val="center"/>
            </w:pPr>
            <w:r>
              <w:rPr>
                <w:b w:val="1"/>
                <w:bCs w:val="1"/>
              </w:rPr>
              <w:t xml:space="preserve">Kód podskupiny</w:t>
            </w:r>
          </w:p>
        </w:tc>
        <w:tc>
          <w:tcPr>
            <w:tcW w:w="3000" w:type="dxa"/>
          </w:tcPr>
          <w:p>
            <w:pPr>
              <w:jc w:val="center"/>
            </w:pPr>
            <w:r>
              <w:rPr>
                <w:b w:val="1"/>
                <w:bCs w:val="1"/>
              </w:rPr>
              <w:t xml:space="preserve">Název podskupiny v ESCO</w:t>
            </w:r>
          </w:p>
        </w:tc>
        <w:tc>
          <w:tcPr>
            <w:tcW w:w="3000" w:type="dxa"/>
          </w:tcPr>
          <w:p>
            <w:pPr>
              <w:jc w:val="center"/>
            </w:pPr>
            <w:r>
              <w:rPr>
                <w:b w:val="1"/>
                <w:bCs w:val="1"/>
              </w:rPr>
              <w:t xml:space="preserve">URL - podskupiny v ESCO</w:t>
            </w:r>
          </w:p>
        </w:tc>
      </w:tr>
      <w:tr>
        <w:trPr/>
        <w:tc>
          <w:tcPr>
            <w:tcW w:w="3000" w:type="dxa"/>
          </w:tcPr>
          <w:p>
            <w:pPr/>
            <w:r>
              <w:rPr/>
              <w:t xml:space="preserve">3111</w:t>
            </w:r>
          </w:p>
        </w:tc>
        <w:tc>
          <w:tcPr>
            <w:tcW w:w="3000" w:type="dxa"/>
          </w:tcPr>
          <w:p>
            <w:pPr/>
            <w:r>
              <w:rPr/>
              <w:t xml:space="preserve">Technici v chemických a fyzikálních vědách (kromě chemického inženýrství)</w:t>
            </w:r>
          </w:p>
        </w:tc>
        <w:tc>
          <w:tcPr>
            <w:tcW w:w="3000" w:type="dxa"/>
          </w:tcPr>
          <w:p>
            <w:pPr/>
            <w:r>
              <w:rPr/>
              <w:t xml:space="preserve">http://data.europa.eu/esco/isco/C3111</w:t>
            </w:r>
          </w:p>
        </w:tc>
      </w:tr>
    </w:tbl>
    <w:p/>
    <w:p/>
    <w:p/>
    <w:p>
      <w:pPr>
        <w:pStyle w:val="Heading2"/>
      </w:pPr>
      <w:bookmarkStart w:id="8" w:name="_Toc8"/>
      <w:r>
        <w:t>Příklady činností</w:t>
      </w:r>
      <w:bookmarkEnd w:id="8"/>
    </w:p>
    <w:tbl>
      <w:tblGrid>
        <w:gridCol w:w="7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7000" w:type="dxa"/>
          </w:tcPr>
          <w:p>
            <w:pPr/>
            <w:r>
              <w:rPr>
                <w:b w:val="1"/>
                <w:bCs w:val="1"/>
              </w:rPr>
              <w:t xml:space="preserve">Příklady činností ze veřejného sektoru</w:t>
            </w:r>
          </w:p>
        </w:tc>
        <w:tc>
          <w:tcPr>
            <w:tcW w:w="2000" w:type="dxa"/>
          </w:tcPr>
          <w:p>
            <w:pPr>
              <w:jc w:val="center"/>
            </w:pPr>
            <w:r>
              <w:rPr>
                <w:b w:val="1"/>
                <w:bCs w:val="1"/>
              </w:rPr>
              <w:t xml:space="preserve">Platová třída</w:t>
            </w:r>
          </w:p>
        </w:tc>
      </w:tr>
      <w:tr>
        <w:trPr/>
        <w:tc>
          <w:tcPr>
            <w:tcW w:w="7000" w:type="dxa"/>
          </w:tcPr>
          <w:p>
            <w:pPr/>
            <w:r>
              <w:rPr/>
              <w:t xml:space="preserve">Stanovování technologických postupů a technických podmínek ucelených částí výrob využívajících běžné univerzální stroje a zařízení, omezený rozsah a kvalitu surovin a materiálů, nástrojů, přípravků apod.</w:t>
            </w:r>
          </w:p>
        </w:tc>
        <w:tc>
          <w:tcPr>
            <w:tcW w:w="2000" w:type="dxa"/>
          </w:tcPr>
          <w:p>
            <w:pPr>
              <w:jc w:val="center"/>
            </w:pPr>
            <w:r>
              <w:rPr/>
              <w:t xml:space="preserve">8</w:t>
            </w:r>
          </w:p>
        </w:tc>
      </w:tr>
      <w:tr>
        <w:trPr/>
        <w:tc>
          <w:tcPr>
            <w:tcW w:w="7000" w:type="dxa"/>
          </w:tcPr>
          <w:p>
            <w:pPr/>
            <w:r>
              <w:rPr/>
              <w:t xml:space="preserve">Stanovování průběhu provozních činností zajišťovaných větším počtem zaměstnanců a se značnou intenzitou vazeb mezi dílčími provozními jednotkami, popřípadě s využíváním složitějšího provozního zařízení, například údržba strojů a zařízení, stavební údržba.</w:t>
            </w:r>
          </w:p>
        </w:tc>
        <w:tc>
          <w:tcPr>
            <w:tcW w:w="2000" w:type="dxa"/>
          </w:tcPr>
          <w:p>
            <w:pPr>
              <w:jc w:val="center"/>
            </w:pPr>
            <w:r>
              <w:rPr/>
              <w:t xml:space="preserve">8</w:t>
            </w:r>
          </w:p>
        </w:tc>
      </w:tr>
    </w:tbl>
    <w:p/>
    <w:p>
      <w:pPr>
        <w:pStyle w:val="Heading2"/>
      </w:pPr>
      <w:bookmarkStart w:id="9" w:name="_Toc9"/>
      <w:r>
        <w:t>Pracovní podmínky</w:t>
      </w:r>
      <w:bookmarkEnd w:id="9"/>
    </w:p>
    <w:p>
      <w:pPr/>
      <w:r>
        <w:rPr/>
        <w:t xml:space="preserve">Rizikové faktory pracovních podmínek a vyskytující se druhy zátěže upravuje nařízení vlády č. 361/2007 Sb., kterým se stanoví podmínky ochrany zdraví při práci, zákon č. 258/2000 Sb., o ochraně veřejného zdraví a zákon č. 262/2006 Sb., zákoník práce. Vždy vyplývají z pracovních podmínek, které se vztahují ke konkrétnímu zaměstnavateli, tudíž se mohou u různých zaměstnavatelů lišit.</w:t>
      </w:r>
    </w:p>
    <w:p/>
    <w:p>
      <w:pPr/>
      <w:r>
        <w:rPr/>
        <w:t xml:space="preserve">Určení míry výskytu faktorů, které mohou ovlivnit zdraví při práci vychází z druhu práce vykonávané na pracovišti. Faktory se zařazují do čtyř kategorií dle míry zdravotního rizika a jeho vlivu na zdraví. O zařazení prací do třetí nebo čtvrté kategorie rozhoduje příslušný orgán ochrany veřejného zdraví.</w:t>
      </w:r>
    </w:p>
    <w:p/>
    <w:p>
      <w:pPr>
        <w:numPr>
          <w:ilvl w:val="0"/>
          <w:numId w:val="5"/>
        </w:numPr>
      </w:pPr>
      <w:r>
        <w:rPr>
          <w:sz w:val="16"/>
          <w:szCs w:val="16"/>
          <w:i w:val="1"/>
          <w:iCs w:val="1"/>
        </w:rPr>
        <w:t xml:space="preserve">1. Stupeň zátěže (minimální zdravotní riziko) - Faktor se při výkonu práce nevyskytuje nebo je zátěž faktorem minimální, vliv faktoru je ze zdravotního hlediska nevýznamný.</w:t>
      </w:r>
    </w:p>
    <w:p>
      <w:pPr>
        <w:numPr>
          <w:ilvl w:val="0"/>
          <w:numId w:val="5"/>
        </w:numPr>
      </w:pPr>
      <w:r>
        <w:rPr>
          <w:sz w:val="16"/>
          <w:szCs w:val="16"/>
          <w:i w:val="1"/>
          <w:iCs w:val="1"/>
        </w:rPr>
        <w:t xml:space="preserve">2. Stupeň zátěže (únosná míra zdravotního rizika) - Ze zdravotního hlediska je míra zátěže faktorem únosná, nepřekračuje limity stanovené předpisy, vliv faktoru je akceptovatelný pro zdravého člověka.</w:t>
      </w:r>
    </w:p>
    <w:p>
      <w:pPr>
        <w:numPr>
          <w:ilvl w:val="0"/>
          <w:numId w:val="5"/>
        </w:numPr>
      </w:pPr>
      <w:r>
        <w:rPr>
          <w:sz w:val="16"/>
          <w:szCs w:val="16"/>
          <w:i w:val="1"/>
          <w:iCs w:val="1"/>
        </w:rPr>
        <w:t xml:space="preserve">3. Stupeň zátěže (významná míra zdravotního rizika) - Úroveň zátěže překračuje stanovené limitní hodnoty expozice (zátěže), na pracovištích je nutná realizace náhradních technických a organizačních opatření, nelze vyloučit negativní vliv na zdraví pracovníků.</w:t>
      </w:r>
    </w:p>
    <w:p>
      <w:pPr>
        <w:numPr>
          <w:ilvl w:val="0"/>
          <w:numId w:val="5"/>
        </w:numPr>
      </w:pPr>
      <w:r>
        <w:rPr>
          <w:sz w:val="16"/>
          <w:szCs w:val="16"/>
          <w:i w:val="1"/>
          <w:iCs w:val="1"/>
        </w:rPr>
        <w:t xml:space="preserve">4. Stupeň zátěže (vysoká míra zdravotního rizika) - Úroveň zátěže vysoce překračuje stanovené limitní hodnoty expozice, na pracovištích musí být dodržován soubor preventivních opatření, častěji dochází k poškození zdraví.</w:t>
      </w:r>
    </w:p>
    <w:p/>
    <w:p/>
    <w:p>
      <w:pPr>
        <w:pStyle w:val="Heading2"/>
      </w:pPr>
      <w:bookmarkStart w:id="10" w:name="_Toc10"/>
      <w:r>
        <w:t>Kvalifikace k výkonu povolání</w:t>
      </w:r>
      <w:bookmarkEnd w:id="10"/>
    </w:p>
    <w:p>
      <w:pPr>
        <w:pStyle w:val="Heading3"/>
      </w:pPr>
      <w:bookmarkStart w:id="11" w:name="_Toc11"/>
      <w:r>
        <w:t>Školní vzdělání</w:t>
      </w:r>
      <w:bookmarkEnd w:id="11"/>
    </w:p>
    <w:p/>
    <w:p>
      <w:pPr>
        <w:pStyle w:val="Heading4"/>
      </w:pPr>
      <w:bookmarkStart w:id="12" w:name="_Toc12"/>
      <w:r>
        <w:t>Nejvhodnější školní přípravu poskytují obory:</w:t>
      </w:r>
      <w:bookmarkEnd w:id="12"/>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Střední vzdělání s maturitní zkouškou (bez vyučení) v oboru chemická technologie</w:t>
            </w:r>
          </w:p>
        </w:tc>
        <w:tc>
          <w:tcPr>
            <w:tcW w:w="2000" w:type="dxa"/>
          </w:tcPr>
          <w:p>
            <w:pPr>
              <w:jc w:val="center"/>
            </w:pPr>
            <w:r>
              <w:rPr/>
              <w:t xml:space="preserve">2841M</w:t>
            </w:r>
          </w:p>
        </w:tc>
      </w:tr>
    </w:tbl>
    <w:p/>
    <w:p>
      <w:pPr>
        <w:pStyle w:val="Heading4"/>
      </w:pPr>
      <w:bookmarkStart w:id="13" w:name="_Toc13"/>
      <w:r>
        <w:t>Vhodnou školní přípravu poskytují také obory:</w:t>
      </w:r>
      <w:bookmarkEnd w:id="13"/>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Střední vzdělání s maturitní zkouškou (bez vyučení) v oboru aplikovaná chemie</w:t>
            </w:r>
          </w:p>
        </w:tc>
        <w:tc>
          <w:tcPr>
            <w:tcW w:w="2000" w:type="dxa"/>
          </w:tcPr>
          <w:p>
            <w:pPr>
              <w:jc w:val="center"/>
            </w:pPr>
            <w:r>
              <w:rPr/>
              <w:t xml:space="preserve">2844M</w:t>
            </w:r>
          </w:p>
        </w:tc>
      </w:tr>
      <w:tr>
        <w:trPr/>
        <w:tc>
          <w:tcPr>
            <w:tcW w:w="2000" w:type="dxa"/>
          </w:tcPr>
          <w:p>
            <w:pPr>
              <w:jc w:val="center"/>
            </w:pPr>
            <w:r>
              <w:rPr/>
              <w:t xml:space="preserve">KKOV</w:t>
            </w:r>
          </w:p>
        </w:tc>
        <w:tc>
          <w:tcPr>
            <w:tcW w:w="5000" w:type="dxa"/>
          </w:tcPr>
          <w:p>
            <w:pPr/>
            <w:r>
              <w:rPr/>
              <w:t xml:space="preserve">Střední vzdělání s maturitní zkouškou (bez vyučení) v oboru průmyslová chemie</w:t>
            </w:r>
          </w:p>
        </w:tc>
        <w:tc>
          <w:tcPr>
            <w:tcW w:w="2000" w:type="dxa"/>
          </w:tcPr>
          <w:p>
            <w:pPr>
              <w:jc w:val="center"/>
            </w:pPr>
            <w:r>
              <w:rPr/>
              <w:t xml:space="preserve">2842M</w:t>
            </w:r>
          </w:p>
        </w:tc>
      </w:tr>
      <w:tr>
        <w:trPr/>
        <w:tc>
          <w:tcPr>
            <w:tcW w:w="2000" w:type="dxa"/>
          </w:tcPr>
          <w:p>
            <w:pPr>
              <w:jc w:val="center"/>
            </w:pPr>
            <w:r>
              <w:rPr/>
              <w:t xml:space="preserve">KKOV</w:t>
            </w:r>
          </w:p>
        </w:tc>
        <w:tc>
          <w:tcPr>
            <w:tcW w:w="5000" w:type="dxa"/>
          </w:tcPr>
          <w:p>
            <w:pPr/>
            <w:r>
              <w:rPr/>
              <w:t xml:space="preserve">Střední vzdělání s maturitní zkouškou v oboru průmyslová chemie</w:t>
            </w:r>
          </w:p>
        </w:tc>
        <w:tc>
          <w:tcPr>
            <w:tcW w:w="2000" w:type="dxa"/>
          </w:tcPr>
          <w:p>
            <w:pPr>
              <w:jc w:val="center"/>
            </w:pPr>
            <w:r>
              <w:rPr/>
              <w:t xml:space="preserve">2842L</w:t>
            </w:r>
          </w:p>
        </w:tc>
      </w:tr>
      <w:tr>
        <w:trPr/>
        <w:tc>
          <w:tcPr>
            <w:tcW w:w="2000" w:type="dxa"/>
          </w:tcPr>
          <w:p>
            <w:pPr>
              <w:jc w:val="center"/>
            </w:pPr>
            <w:r>
              <w:rPr/>
              <w:t xml:space="preserve">RVP</w:t>
            </w:r>
          </w:p>
        </w:tc>
        <w:tc>
          <w:tcPr>
            <w:tcW w:w="5000" w:type="dxa"/>
          </w:tcPr>
          <w:p>
            <w:pPr/>
            <w:r>
              <w:rPr/>
              <w:t xml:space="preserve">Chemik operátor</w:t>
            </w:r>
          </w:p>
        </w:tc>
        <w:tc>
          <w:tcPr>
            <w:tcW w:w="2000" w:type="dxa"/>
          </w:tcPr>
          <w:p>
            <w:pPr>
              <w:jc w:val="center"/>
            </w:pPr>
            <w:r>
              <w:rPr/>
              <w:t xml:space="preserve">28-42-L/01</w:t>
            </w:r>
          </w:p>
        </w:tc>
      </w:tr>
    </w:tbl>
    <w:p/>
    <w:p>
      <w:pPr>
        <w:pStyle w:val="Heading2"/>
      </w:pPr>
      <w:bookmarkStart w:id="14" w:name="_Toc14"/>
      <w:r>
        <w:t>Kompetenční požadavky</w:t>
      </w:r>
      <w:bookmarkEnd w:id="14"/>
    </w:p>
    <w:p>
      <w:pPr>
        <w:pStyle w:val="Heading3"/>
      </w:pPr>
      <w:bookmarkStart w:id="15" w:name="_Toc15"/>
      <w:r>
        <w:t>Odborné dovednosti</w:t>
      </w:r>
      <w:bookmarkEnd w:id="15"/>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e52.A.3017</w:t>
            </w:r>
          </w:p>
        </w:tc>
        <w:tc>
          <w:tcPr>
            <w:tcW w:w="3000" w:type="dxa"/>
          </w:tcPr>
          <w:p>
            <w:pPr/>
            <w:r>
              <w:rPr/>
              <w:t xml:space="preserve">Příprava a úprava chemických látek pro proces výroby kompozitních materiálů</w:t>
            </w:r>
          </w:p>
        </w:tc>
        <w:tc>
          <w:tcPr>
            <w:tcW w:w="2000" w:type="dxa"/>
          </w:tcPr>
          <w:p>
            <w:pPr>
              <w:jc w:val="center"/>
            </w:pPr>
            <w:r>
              <w:rPr/>
              <w:t xml:space="preserve">4</w:t>
            </w:r>
          </w:p>
        </w:tc>
        <w:tc>
          <w:tcPr>
            <w:tcW w:w="2000" w:type="dxa"/>
          </w:tcPr>
          <w:p>
            <w:pPr>
              <w:jc w:val="center"/>
            </w:pPr>
            <w:r>
              <w:rPr/>
              <w:t xml:space="preserve">Výhodné</w:t>
            </w:r>
          </w:p>
        </w:tc>
      </w:tr>
      <w:tr>
        <w:trPr/>
        <w:tc>
          <w:tcPr>
            <w:tcW w:w="2000" w:type="dxa"/>
          </w:tcPr>
          <w:p>
            <w:pPr>
              <w:jc w:val="center"/>
            </w:pPr>
            <w:r>
              <w:rPr/>
              <w:t xml:space="preserve">e52.Z.1006</w:t>
            </w:r>
          </w:p>
        </w:tc>
        <w:tc>
          <w:tcPr>
            <w:tcW w:w="3000" w:type="dxa"/>
          </w:tcPr>
          <w:p>
            <w:pPr/>
            <w:r>
              <w:rPr/>
              <w:t xml:space="preserve">Řízení jednoduchých nebo opakujících se technologických procesů a pracovních postupů ve výrobě kompozitních materiálů</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e52.A.6002</w:t>
            </w:r>
          </w:p>
        </w:tc>
        <w:tc>
          <w:tcPr>
            <w:tcW w:w="3000" w:type="dxa"/>
          </w:tcPr>
          <w:p>
            <w:pPr/>
            <w:r>
              <w:rPr/>
              <w:t xml:space="preserve">Manipulace s běžným a nebezpečným odpadem</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e52.D.2051</w:t>
            </w:r>
          </w:p>
        </w:tc>
        <w:tc>
          <w:tcPr>
            <w:tcW w:w="3000" w:type="dxa"/>
          </w:tcPr>
          <w:p>
            <w:pPr/>
            <w:r>
              <w:rPr/>
              <w:t xml:space="preserve">Dodržování zásad bezpečnosti a ochrany zdraví při práci, hygieny práce, požární prevence a ochrany životního prostředí v chemické výrobě</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e52.D.3011</w:t>
            </w:r>
          </w:p>
        </w:tc>
        <w:tc>
          <w:tcPr>
            <w:tcW w:w="3000" w:type="dxa"/>
          </w:tcPr>
          <w:p>
            <w:pPr/>
            <w:r>
              <w:rPr/>
              <w:t xml:space="preserve">Posuzování hodnot a parametrů při obsluze a řízení technologických procesů ve výrobě chemických produktů, samostatné provádění výstupní kontroly a vyhodnocování závad</w:t>
            </w:r>
          </w:p>
        </w:tc>
        <w:tc>
          <w:tcPr>
            <w:tcW w:w="2000" w:type="dxa"/>
          </w:tcPr>
          <w:p>
            <w:pPr>
              <w:jc w:val="center"/>
            </w:pPr>
            <w:r>
              <w:rPr/>
              <w:t xml:space="preserve">4</w:t>
            </w:r>
          </w:p>
        </w:tc>
        <w:tc>
          <w:tcPr>
            <w:tcW w:w="2000" w:type="dxa"/>
          </w:tcPr>
          <w:p>
            <w:pPr>
              <w:jc w:val="center"/>
            </w:pPr>
            <w:r>
              <w:rPr/>
              <w:t xml:space="preserve">Nutné</w:t>
            </w:r>
          </w:p>
        </w:tc>
      </w:tr>
    </w:tbl>
    <w:p>
      <w:pPr/>
      <w:r>
        <w:rPr>
          <w:sz w:val="16"/>
          <w:szCs w:val="16"/>
          <w:i w:val="1"/>
          <w:iCs w:val="1"/>
        </w:rPr>
        <w:t xml:space="preserve">Popisy úrovní naleznete zde: https://nsp.cz/downloads/Priloha_c2_manualu.pdf</w:t>
      </w:r>
    </w:p>
    <w:p/>
    <w:p>
      <w:pPr>
        <w:pStyle w:val="Heading3"/>
      </w:pPr>
      <w:bookmarkStart w:id="16" w:name="_Toc16"/>
      <w:r>
        <w:t>Odborné znalosti</w:t>
      </w:r>
      <w:bookmarkEnd w:id="16"/>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e31._.0006</w:t>
            </w:r>
          </w:p>
        </w:tc>
        <w:tc>
          <w:tcPr>
            <w:tcW w:w="3000" w:type="dxa"/>
          </w:tcPr>
          <w:p>
            <w:pPr/>
            <w:r>
              <w:rPr/>
              <w:t xml:space="preserve">technologie výroby kompozitních materiálů</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e52._.0003</w:t>
            </w:r>
          </w:p>
        </w:tc>
        <w:tc>
          <w:tcPr>
            <w:tcW w:w="3000" w:type="dxa"/>
          </w:tcPr>
          <w:p>
            <w:pPr/>
            <w:r>
              <w:rPr/>
              <w:t xml:space="preserve">technologie zpracování kompozitních materiálů</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e52._.0001</w:t>
            </w:r>
          </w:p>
        </w:tc>
        <w:tc>
          <w:tcPr>
            <w:tcW w:w="3000" w:type="dxa"/>
          </w:tcPr>
          <w:p>
            <w:pPr/>
            <w:r>
              <w:rPr/>
              <w:t xml:space="preserve">základy chemických technologií, základní druhy strojů, zařízení a surovin</w:t>
            </w:r>
          </w:p>
        </w:tc>
        <w:tc>
          <w:tcPr>
            <w:tcW w:w="2000" w:type="dxa"/>
          </w:tcPr>
          <w:p>
            <w:pPr>
              <w:jc w:val="center"/>
            </w:pPr>
            <w:r>
              <w:rPr/>
              <w:t xml:space="preserve">4</w:t>
            </w:r>
          </w:p>
        </w:tc>
        <w:tc>
          <w:tcPr>
            <w:tcW w:w="2000" w:type="dxa"/>
          </w:tcPr>
          <w:p>
            <w:pPr>
              <w:jc w:val="center"/>
            </w:pPr>
            <w:r>
              <w:rPr/>
              <w:t xml:space="preserve">Nutné</w:t>
            </w:r>
          </w:p>
        </w:tc>
      </w:tr>
    </w:tbl>
    <w:p>
      <w:pPr/>
      <w:r>
        <w:rPr>
          <w:sz w:val="16"/>
          <w:szCs w:val="16"/>
          <w:i w:val="1"/>
          <w:iCs w:val="1"/>
        </w:rPr>
        <w:t xml:space="preserve">Popisy úrovní naleznete zde: https://nsp.cz/downloads/Priloha_c2_manualu.pdf</w:t>
      </w:r>
    </w:p>
    <w:p/>
    <w:p>
      <w:pPr>
        <w:pStyle w:val="Heading3"/>
      </w:pPr>
      <w:bookmarkStart w:id="17" w:name="_Toc17"/>
      <w:r>
        <w:t>Digitální kompetence</w:t>
      </w:r>
      <w:bookmarkEnd w:id="17"/>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1-4</w:t>
            </w:r>
          </w:p>
        </w:tc>
      </w:tr>
      <w:tr>
        <w:trPr/>
        <w:tc>
          <w:tcPr>
            <w:tcW w:w="2000" w:type="dxa"/>
          </w:tcPr>
          <w:p>
            <w:pPr>
              <w:jc w:val="center"/>
            </w:pPr>
            <w:r>
              <w:rPr/>
              <w:t xml:space="preserve">1.1</w:t>
            </w:r>
          </w:p>
        </w:tc>
        <w:tc>
          <w:tcPr>
            <w:tcW w:w="5000" w:type="dxa"/>
          </w:tcPr>
          <w:p>
            <w:pPr/>
            <w:r>
              <w:rPr/>
              <w:t xml:space="preserve">Prohlížení, vyhledávání a filtrování dat, informací a digitálního obsahu  </w:t>
            </w:r>
          </w:p>
        </w:tc>
        <w:tc>
          <w:tcPr>
            <w:tcW w:w="2000" w:type="dxa"/>
          </w:tcPr>
          <w:p>
            <w:pPr>
              <w:jc w:val="center"/>
            </w:pPr>
            <w:r>
              <w:rPr/>
              <w:t xml:space="preserve">3</w:t>
            </w:r>
          </w:p>
        </w:tc>
      </w:tr>
      <w:tr>
        <w:trPr/>
        <w:tc>
          <w:tcPr>
            <w:tcW w:w="2000" w:type="dxa"/>
          </w:tcPr>
          <w:p>
            <w:pPr>
              <w:jc w:val="center"/>
            </w:pPr>
            <w:r>
              <w:rPr/>
              <w:t xml:space="preserve">5.3</w:t>
            </w:r>
          </w:p>
        </w:tc>
        <w:tc>
          <w:tcPr>
            <w:tcW w:w="5000" w:type="dxa"/>
          </w:tcPr>
          <w:p>
            <w:pPr/>
            <w:r>
              <w:rPr/>
              <w:t xml:space="preserve">Kreativní využívání digitálních technologií  </w:t>
            </w:r>
          </w:p>
        </w:tc>
        <w:tc>
          <w:tcPr>
            <w:tcW w:w="2000" w:type="dxa"/>
          </w:tcPr>
          <w:p>
            <w:pPr>
              <w:jc w:val="center"/>
            </w:pPr>
            <w:r>
              <w:rPr/>
              <w:t xml:space="preserve">1</w:t>
            </w:r>
          </w:p>
        </w:tc>
      </w:tr>
      <w:tr>
        <w:trPr/>
        <w:tc>
          <w:tcPr>
            <w:tcW w:w="2000" w:type="dxa"/>
          </w:tcPr>
          <w:p>
            <w:pPr>
              <w:jc w:val="center"/>
            </w:pPr>
            <w:r>
              <w:rPr/>
              <w:t xml:space="preserve">5.2</w:t>
            </w:r>
          </w:p>
        </w:tc>
        <w:tc>
          <w:tcPr>
            <w:tcW w:w="5000" w:type="dxa"/>
          </w:tcPr>
          <w:p>
            <w:pPr/>
            <w:r>
              <w:rPr/>
              <w:t xml:space="preserve">Identifikace potřeb a výběr vhodných technologií  </w:t>
            </w:r>
          </w:p>
        </w:tc>
        <w:tc>
          <w:tcPr>
            <w:tcW w:w="2000" w:type="dxa"/>
          </w:tcPr>
          <w:p>
            <w:pPr>
              <w:jc w:val="center"/>
            </w:pPr>
            <w:r>
              <w:rPr/>
              <w:t xml:space="preserve">2</w:t>
            </w:r>
          </w:p>
        </w:tc>
      </w:tr>
      <w:tr>
        <w:trPr/>
        <w:tc>
          <w:tcPr>
            <w:tcW w:w="2000" w:type="dxa"/>
          </w:tcPr>
          <w:p>
            <w:pPr>
              <w:jc w:val="center"/>
            </w:pPr>
            <w:r>
              <w:rPr/>
              <w:t xml:space="preserve">5.1</w:t>
            </w:r>
          </w:p>
        </w:tc>
        <w:tc>
          <w:tcPr>
            <w:tcW w:w="5000" w:type="dxa"/>
          </w:tcPr>
          <w:p>
            <w:pPr/>
            <w:r>
              <w:rPr/>
              <w:t xml:space="preserve">Řešení technických problémů  </w:t>
            </w:r>
          </w:p>
        </w:tc>
        <w:tc>
          <w:tcPr>
            <w:tcW w:w="2000" w:type="dxa"/>
          </w:tcPr>
          <w:p>
            <w:pPr>
              <w:jc w:val="center"/>
            </w:pPr>
            <w:r>
              <w:rPr/>
              <w:t xml:space="preserve">3</w:t>
            </w:r>
          </w:p>
        </w:tc>
      </w:tr>
      <w:tr>
        <w:trPr/>
        <w:tc>
          <w:tcPr>
            <w:tcW w:w="2000" w:type="dxa"/>
          </w:tcPr>
          <w:p>
            <w:pPr>
              <w:jc w:val="center"/>
            </w:pPr>
            <w:r>
              <w:rPr/>
              <w:t xml:space="preserve">4.4</w:t>
            </w:r>
          </w:p>
        </w:tc>
        <w:tc>
          <w:tcPr>
            <w:tcW w:w="5000" w:type="dxa"/>
          </w:tcPr>
          <w:p>
            <w:pPr/>
            <w:r>
              <w:rPr/>
              <w:t xml:space="preserve">Ochrana životního prostředí  </w:t>
            </w:r>
          </w:p>
        </w:tc>
        <w:tc>
          <w:tcPr>
            <w:tcW w:w="2000" w:type="dxa"/>
          </w:tcPr>
          <w:p>
            <w:pPr>
              <w:jc w:val="center"/>
            </w:pPr>
            <w:r>
              <w:rPr/>
              <w:t xml:space="preserve">2</w:t>
            </w:r>
          </w:p>
        </w:tc>
      </w:tr>
      <w:tr>
        <w:trPr/>
        <w:tc>
          <w:tcPr>
            <w:tcW w:w="2000" w:type="dxa"/>
          </w:tcPr>
          <w:p>
            <w:pPr>
              <w:jc w:val="center"/>
            </w:pPr>
            <w:r>
              <w:rPr/>
              <w:t xml:space="preserve">4.3</w:t>
            </w:r>
          </w:p>
        </w:tc>
        <w:tc>
          <w:tcPr>
            <w:tcW w:w="5000" w:type="dxa"/>
          </w:tcPr>
          <w:p>
            <w:pPr/>
            <w:r>
              <w:rPr/>
              <w:t xml:space="preserve">Ochrana zdraví a duševní pohody  </w:t>
            </w:r>
          </w:p>
        </w:tc>
        <w:tc>
          <w:tcPr>
            <w:tcW w:w="2000" w:type="dxa"/>
          </w:tcPr>
          <w:p>
            <w:pPr>
              <w:jc w:val="center"/>
            </w:pPr>
            <w:r>
              <w:rPr/>
              <w:t xml:space="preserve">2</w:t>
            </w:r>
          </w:p>
        </w:tc>
      </w:tr>
      <w:tr>
        <w:trPr/>
        <w:tc>
          <w:tcPr>
            <w:tcW w:w="2000" w:type="dxa"/>
          </w:tcPr>
          <w:p>
            <w:pPr>
              <w:jc w:val="center"/>
            </w:pPr>
            <w:r>
              <w:rPr/>
              <w:t xml:space="preserve">4.2</w:t>
            </w:r>
          </w:p>
        </w:tc>
        <w:tc>
          <w:tcPr>
            <w:tcW w:w="5000" w:type="dxa"/>
          </w:tcPr>
          <w:p>
            <w:pPr/>
            <w:r>
              <w:rPr/>
              <w:t xml:space="preserve">Ochrana osobních dat a soukromí  </w:t>
            </w:r>
          </w:p>
        </w:tc>
        <w:tc>
          <w:tcPr>
            <w:tcW w:w="2000" w:type="dxa"/>
          </w:tcPr>
          <w:p>
            <w:pPr>
              <w:jc w:val="center"/>
            </w:pPr>
            <w:r>
              <w:rPr/>
              <w:t xml:space="preserve">2</w:t>
            </w:r>
          </w:p>
        </w:tc>
      </w:tr>
      <w:tr>
        <w:trPr/>
        <w:tc>
          <w:tcPr>
            <w:tcW w:w="2000" w:type="dxa"/>
          </w:tcPr>
          <w:p>
            <w:pPr>
              <w:jc w:val="center"/>
            </w:pPr>
            <w:r>
              <w:rPr/>
              <w:t xml:space="preserve">4.1</w:t>
            </w:r>
          </w:p>
        </w:tc>
        <w:tc>
          <w:tcPr>
            <w:tcW w:w="5000" w:type="dxa"/>
          </w:tcPr>
          <w:p>
            <w:pPr/>
            <w:r>
              <w:rPr/>
              <w:t xml:space="preserve">Ochrana zařízení  </w:t>
            </w:r>
          </w:p>
        </w:tc>
        <w:tc>
          <w:tcPr>
            <w:tcW w:w="2000" w:type="dxa"/>
          </w:tcPr>
          <w:p>
            <w:pPr>
              <w:jc w:val="center"/>
            </w:pPr>
            <w:r>
              <w:rPr/>
              <w:t xml:space="preserve">2</w:t>
            </w:r>
          </w:p>
        </w:tc>
      </w:tr>
      <w:tr>
        <w:trPr/>
        <w:tc>
          <w:tcPr>
            <w:tcW w:w="2000" w:type="dxa"/>
          </w:tcPr>
          <w:p>
            <w:pPr>
              <w:jc w:val="center"/>
            </w:pPr>
            <w:r>
              <w:rPr/>
              <w:t xml:space="preserve">3.3</w:t>
            </w:r>
          </w:p>
        </w:tc>
        <w:tc>
          <w:tcPr>
            <w:tcW w:w="5000" w:type="dxa"/>
          </w:tcPr>
          <w:p>
            <w:pPr/>
            <w:r>
              <w:rPr/>
              <w:t xml:space="preserve">Autorská práva a licence  </w:t>
            </w:r>
          </w:p>
        </w:tc>
        <w:tc>
          <w:tcPr>
            <w:tcW w:w="2000" w:type="dxa"/>
          </w:tcPr>
          <w:p>
            <w:pPr>
              <w:jc w:val="center"/>
            </w:pPr>
            <w:r>
              <w:rPr/>
              <w:t xml:space="preserve">2</w:t>
            </w:r>
          </w:p>
        </w:tc>
      </w:tr>
      <w:tr>
        <w:trPr/>
        <w:tc>
          <w:tcPr>
            <w:tcW w:w="2000" w:type="dxa"/>
          </w:tcPr>
          <w:p>
            <w:pPr>
              <w:jc w:val="center"/>
            </w:pPr>
            <w:r>
              <w:rPr/>
              <w:t xml:space="preserve">3.2</w:t>
            </w:r>
          </w:p>
        </w:tc>
        <w:tc>
          <w:tcPr>
            <w:tcW w:w="5000" w:type="dxa"/>
          </w:tcPr>
          <w:p>
            <w:pPr/>
            <w:r>
              <w:rPr/>
              <w:t xml:space="preserve">Integrace a přepracování digitálního obsahu  </w:t>
            </w:r>
          </w:p>
        </w:tc>
        <w:tc>
          <w:tcPr>
            <w:tcW w:w="2000" w:type="dxa"/>
          </w:tcPr>
          <w:p>
            <w:pPr>
              <w:jc w:val="center"/>
            </w:pPr>
            <w:r>
              <w:rPr/>
              <w:t xml:space="preserve">2</w:t>
            </w:r>
          </w:p>
        </w:tc>
      </w:tr>
      <w:tr>
        <w:trPr/>
        <w:tc>
          <w:tcPr>
            <w:tcW w:w="2000" w:type="dxa"/>
          </w:tcPr>
          <w:p>
            <w:pPr>
              <w:jc w:val="center"/>
            </w:pPr>
            <w:r>
              <w:rPr/>
              <w:t xml:space="preserve">3.1</w:t>
            </w:r>
          </w:p>
        </w:tc>
        <w:tc>
          <w:tcPr>
            <w:tcW w:w="5000" w:type="dxa"/>
          </w:tcPr>
          <w:p>
            <w:pPr/>
            <w:r>
              <w:rPr/>
              <w:t xml:space="preserve">Tvorba digitálního obsahu  </w:t>
            </w:r>
          </w:p>
        </w:tc>
        <w:tc>
          <w:tcPr>
            <w:tcW w:w="2000" w:type="dxa"/>
          </w:tcPr>
          <w:p>
            <w:pPr>
              <w:jc w:val="center"/>
            </w:pPr>
            <w:r>
              <w:rPr/>
              <w:t xml:space="preserve">2</w:t>
            </w:r>
          </w:p>
        </w:tc>
      </w:tr>
      <w:tr>
        <w:trPr/>
        <w:tc>
          <w:tcPr>
            <w:tcW w:w="2000" w:type="dxa"/>
          </w:tcPr>
          <w:p>
            <w:pPr>
              <w:jc w:val="center"/>
            </w:pPr>
            <w:r>
              <w:rPr/>
              <w:t xml:space="preserve">2.5</w:t>
            </w:r>
          </w:p>
        </w:tc>
        <w:tc>
          <w:tcPr>
            <w:tcW w:w="5000" w:type="dxa"/>
          </w:tcPr>
          <w:p>
            <w:pPr/>
            <w:r>
              <w:rPr/>
              <w:t xml:space="preserve">Netiketa  </w:t>
            </w:r>
          </w:p>
        </w:tc>
        <w:tc>
          <w:tcPr>
            <w:tcW w:w="2000" w:type="dxa"/>
          </w:tcPr>
          <w:p>
            <w:pPr>
              <w:jc w:val="center"/>
            </w:pPr>
            <w:r>
              <w:rPr/>
              <w:t xml:space="preserve">2</w:t>
            </w:r>
          </w:p>
        </w:tc>
      </w:tr>
      <w:tr>
        <w:trPr/>
        <w:tc>
          <w:tcPr>
            <w:tcW w:w="2000" w:type="dxa"/>
          </w:tcPr>
          <w:p>
            <w:pPr>
              <w:jc w:val="center"/>
            </w:pPr>
            <w:r>
              <w:rPr/>
              <w:t xml:space="preserve">2.4</w:t>
            </w:r>
          </w:p>
        </w:tc>
        <w:tc>
          <w:tcPr>
            <w:tcW w:w="5000" w:type="dxa"/>
          </w:tcPr>
          <w:p>
            <w:pPr/>
            <w:r>
              <w:rPr/>
              <w:t xml:space="preserve">Spolupráce prostřednictvím digitálních technologií  </w:t>
            </w:r>
          </w:p>
        </w:tc>
        <w:tc>
          <w:tcPr>
            <w:tcW w:w="2000" w:type="dxa"/>
          </w:tcPr>
          <w:p>
            <w:pPr>
              <w:jc w:val="center"/>
            </w:pPr>
            <w:r>
              <w:rPr/>
              <w:t xml:space="preserve">2</w:t>
            </w:r>
          </w:p>
        </w:tc>
      </w:tr>
      <w:tr>
        <w:trPr/>
        <w:tc>
          <w:tcPr>
            <w:tcW w:w="2000" w:type="dxa"/>
          </w:tcPr>
          <w:p>
            <w:pPr>
              <w:jc w:val="center"/>
            </w:pPr>
            <w:r>
              <w:rPr/>
              <w:t xml:space="preserve">2.2</w:t>
            </w:r>
          </w:p>
        </w:tc>
        <w:tc>
          <w:tcPr>
            <w:tcW w:w="5000" w:type="dxa"/>
          </w:tcPr>
          <w:p>
            <w:pPr/>
            <w:r>
              <w:rPr/>
              <w:t xml:space="preserve">Sdílení prostřednictvím digitálních technologií  </w:t>
            </w:r>
          </w:p>
        </w:tc>
        <w:tc>
          <w:tcPr>
            <w:tcW w:w="2000" w:type="dxa"/>
          </w:tcPr>
          <w:p>
            <w:pPr>
              <w:jc w:val="center"/>
            </w:pPr>
            <w:r>
              <w:rPr/>
              <w:t xml:space="preserve">2</w:t>
            </w:r>
          </w:p>
        </w:tc>
      </w:tr>
      <w:tr>
        <w:trPr/>
        <w:tc>
          <w:tcPr>
            <w:tcW w:w="2000" w:type="dxa"/>
          </w:tcPr>
          <w:p>
            <w:pPr>
              <w:jc w:val="center"/>
            </w:pPr>
            <w:r>
              <w:rPr/>
              <w:t xml:space="preserve">2.1</w:t>
            </w:r>
          </w:p>
        </w:tc>
        <w:tc>
          <w:tcPr>
            <w:tcW w:w="5000" w:type="dxa"/>
          </w:tcPr>
          <w:p>
            <w:pPr/>
            <w:r>
              <w:rPr/>
              <w:t xml:space="preserve">Interakce prostřednictvím digitálních technologií  </w:t>
            </w:r>
          </w:p>
        </w:tc>
        <w:tc>
          <w:tcPr>
            <w:tcW w:w="2000" w:type="dxa"/>
          </w:tcPr>
          <w:p>
            <w:pPr>
              <w:jc w:val="center"/>
            </w:pPr>
            <w:r>
              <w:rPr/>
              <w:t xml:space="preserve">2</w:t>
            </w:r>
          </w:p>
        </w:tc>
      </w:tr>
      <w:tr>
        <w:trPr/>
        <w:tc>
          <w:tcPr>
            <w:tcW w:w="2000" w:type="dxa"/>
          </w:tcPr>
          <w:p>
            <w:pPr>
              <w:jc w:val="center"/>
            </w:pPr>
            <w:r>
              <w:rPr/>
              <w:t xml:space="preserve">1.3</w:t>
            </w:r>
          </w:p>
        </w:tc>
        <w:tc>
          <w:tcPr>
            <w:tcW w:w="5000" w:type="dxa"/>
          </w:tcPr>
          <w:p>
            <w:pPr/>
            <w:r>
              <w:rPr/>
              <w:t xml:space="preserve">Správa dat, informací a digitálního obsahu  </w:t>
            </w:r>
          </w:p>
        </w:tc>
        <w:tc>
          <w:tcPr>
            <w:tcW w:w="2000" w:type="dxa"/>
          </w:tcPr>
          <w:p>
            <w:pPr>
              <w:jc w:val="center"/>
            </w:pPr>
            <w:r>
              <w:rPr/>
              <w:t xml:space="preserve">3</w:t>
            </w:r>
          </w:p>
        </w:tc>
      </w:tr>
      <w:tr>
        <w:trPr/>
        <w:tc>
          <w:tcPr>
            <w:tcW w:w="2000" w:type="dxa"/>
          </w:tcPr>
          <w:p>
            <w:pPr>
              <w:jc w:val="center"/>
            </w:pPr>
            <w:r>
              <w:rPr/>
              <w:t xml:space="preserve">1.2</w:t>
            </w:r>
          </w:p>
        </w:tc>
        <w:tc>
          <w:tcPr>
            <w:tcW w:w="5000" w:type="dxa"/>
          </w:tcPr>
          <w:p>
            <w:pPr/>
            <w:r>
              <w:rPr/>
              <w:t xml:space="preserve">Hodnocení dat, informací a digitálního obsahu  </w:t>
            </w:r>
          </w:p>
        </w:tc>
        <w:tc>
          <w:tcPr>
            <w:tcW w:w="2000" w:type="dxa"/>
          </w:tcPr>
          <w:p>
            <w:pPr>
              <w:jc w:val="center"/>
            </w:pPr>
            <w:r>
              <w:rPr/>
              <w:t xml:space="preserve">3</w:t>
            </w:r>
          </w:p>
        </w:tc>
      </w:tr>
      <w:tr>
        <w:trPr/>
        <w:tc>
          <w:tcPr>
            <w:tcW w:w="2000" w:type="dxa"/>
          </w:tcPr>
          <w:p>
            <w:pPr>
              <w:jc w:val="center"/>
            </w:pPr>
            <w:r>
              <w:rPr/>
              <w:t xml:space="preserve">5.4</w:t>
            </w:r>
          </w:p>
        </w:tc>
        <w:tc>
          <w:tcPr>
            <w:tcW w:w="5000" w:type="dxa"/>
          </w:tcPr>
          <w:p>
            <w:pPr/>
            <w:r>
              <w:rPr/>
              <w:t xml:space="preserve">Identifikace nedostatků v digitálních kompetencích  </w:t>
            </w:r>
          </w:p>
        </w:tc>
        <w:tc>
          <w:tcPr>
            <w:tcW w:w="2000" w:type="dxa"/>
          </w:tcPr>
          <w:p>
            <w:pPr>
              <w:jc w:val="center"/>
            </w:pPr>
            <w:r>
              <w:rPr/>
              <w:t xml:space="preserve">2</w:t>
            </w:r>
          </w:p>
        </w:tc>
      </w:tr>
    </w:tbl>
    <w:p>
      <w:pPr/>
      <w:r>
        <w:rPr>
          <w:sz w:val="16"/>
          <w:szCs w:val="16"/>
          <w:i w:val="1"/>
          <w:iCs w:val="1"/>
        </w:rPr>
        <w:t xml:space="preserve">Popisy úrovní naleznete zde: https://nsp.cz/downloads/Priloha_c15_manualu.pdf</w:t>
      </w:r>
    </w:p>
    <w:p/>
    <w:p>
      <w:pPr>
        <w:pStyle w:val="Heading3"/>
      </w:pPr>
      <w:bookmarkStart w:id="18" w:name="_Toc18"/>
      <w:r>
        <w:t>Měkké kompetence</w:t>
      </w:r>
      <w:bookmarkEnd w:id="18"/>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0-5</w:t>
            </w:r>
          </w:p>
        </w:tc>
      </w:tr>
      <w:tr>
        <w:trPr/>
        <w:tc>
          <w:tcPr>
            <w:tcW w:w="2000" w:type="dxa"/>
          </w:tcPr>
          <w:p>
            <w:pPr>
              <w:jc w:val="center"/>
            </w:pPr>
            <w:r>
              <w:rPr/>
              <w:t xml:space="preserve">2.1</w:t>
            </w:r>
          </w:p>
        </w:tc>
        <w:tc>
          <w:tcPr>
            <w:tcW w:w="5000" w:type="dxa"/>
          </w:tcPr>
          <w:p>
            <w:pPr/>
            <w:r>
              <w:rPr/>
              <w:t xml:space="preserve">Kompetence k efektivní komunikaci</w:t>
            </w:r>
          </w:p>
        </w:tc>
        <w:tc>
          <w:tcPr>
            <w:tcW w:w="2000" w:type="dxa"/>
          </w:tcPr>
          <w:p>
            <w:pPr>
              <w:jc w:val="center"/>
            </w:pPr>
            <w:r>
              <w:rPr/>
              <w:t xml:space="preserve">2</w:t>
            </w:r>
          </w:p>
        </w:tc>
      </w:tr>
      <w:tr>
        <w:trPr/>
        <w:tc>
          <w:tcPr>
            <w:tcW w:w="2000" w:type="dxa"/>
          </w:tcPr>
          <w:p>
            <w:pPr>
              <w:jc w:val="center"/>
            </w:pPr>
            <w:r>
              <w:rPr/>
              <w:t xml:space="preserve">2.2</w:t>
            </w:r>
          </w:p>
        </w:tc>
        <w:tc>
          <w:tcPr>
            <w:tcW w:w="5000" w:type="dxa"/>
          </w:tcPr>
          <w:p>
            <w:pPr/>
            <w:r>
              <w:rPr/>
              <w:t xml:space="preserve">Kompetence ke kooperaci</w:t>
            </w:r>
          </w:p>
        </w:tc>
        <w:tc>
          <w:tcPr>
            <w:tcW w:w="2000" w:type="dxa"/>
          </w:tcPr>
          <w:p>
            <w:pPr>
              <w:jc w:val="center"/>
            </w:pPr>
            <w:r>
              <w:rPr/>
              <w:t xml:space="preserve">3</w:t>
            </w:r>
          </w:p>
        </w:tc>
      </w:tr>
      <w:tr>
        <w:trPr/>
        <w:tc>
          <w:tcPr>
            <w:tcW w:w="2000" w:type="dxa"/>
          </w:tcPr>
          <w:p>
            <w:pPr>
              <w:jc w:val="center"/>
            </w:pPr>
            <w:r>
              <w:rPr/>
              <w:t xml:space="preserve">4.6</w:t>
            </w:r>
          </w:p>
        </w:tc>
        <w:tc>
          <w:tcPr>
            <w:tcW w:w="5000" w:type="dxa"/>
          </w:tcPr>
          <w:p>
            <w:pPr/>
            <w:r>
              <w:rPr/>
              <w:t xml:space="preserve">Kompetence k výkonnosti</w:t>
            </w:r>
          </w:p>
        </w:tc>
        <w:tc>
          <w:tcPr>
            <w:tcW w:w="2000" w:type="dxa"/>
          </w:tcPr>
          <w:p>
            <w:pPr>
              <w:jc w:val="center"/>
            </w:pPr>
            <w:r>
              <w:rPr/>
              <w:t xml:space="preserve">3</w:t>
            </w:r>
          </w:p>
        </w:tc>
      </w:tr>
      <w:tr>
        <w:trPr/>
        <w:tc>
          <w:tcPr>
            <w:tcW w:w="2000" w:type="dxa"/>
          </w:tcPr>
          <w:p>
            <w:pPr>
              <w:jc w:val="center"/>
            </w:pPr>
            <w:r>
              <w:rPr/>
              <w:t xml:space="preserve">4.5</w:t>
            </w:r>
          </w:p>
        </w:tc>
        <w:tc>
          <w:tcPr>
            <w:tcW w:w="5000" w:type="dxa"/>
          </w:tcPr>
          <w:p>
            <w:pPr/>
            <w:r>
              <w:rPr/>
              <w:t xml:space="preserve">Kompetence k samostatnosti</w:t>
            </w:r>
          </w:p>
        </w:tc>
        <w:tc>
          <w:tcPr>
            <w:tcW w:w="2000" w:type="dxa"/>
          </w:tcPr>
          <w:p>
            <w:pPr>
              <w:jc w:val="center"/>
            </w:pPr>
            <w:r>
              <w:rPr/>
              <w:t xml:space="preserve">3</w:t>
            </w:r>
          </w:p>
        </w:tc>
      </w:tr>
      <w:tr>
        <w:trPr/>
        <w:tc>
          <w:tcPr>
            <w:tcW w:w="2000" w:type="dxa"/>
          </w:tcPr>
          <w:p>
            <w:pPr>
              <w:jc w:val="center"/>
            </w:pPr>
            <w:r>
              <w:rPr/>
              <w:t xml:space="preserve">4.2</w:t>
            </w:r>
          </w:p>
        </w:tc>
        <w:tc>
          <w:tcPr>
            <w:tcW w:w="5000" w:type="dxa"/>
          </w:tcPr>
          <w:p>
            <w:pPr/>
            <w:r>
              <w:rPr/>
              <w:t xml:space="preserve">Kompetence k plánování a organizování práce</w:t>
            </w:r>
          </w:p>
        </w:tc>
        <w:tc>
          <w:tcPr>
            <w:tcW w:w="2000" w:type="dxa"/>
          </w:tcPr>
          <w:p>
            <w:pPr>
              <w:jc w:val="center"/>
            </w:pPr>
            <w:r>
              <w:rPr/>
              <w:t xml:space="preserve">2</w:t>
            </w:r>
          </w:p>
        </w:tc>
      </w:tr>
      <w:tr>
        <w:trPr/>
        <w:tc>
          <w:tcPr>
            <w:tcW w:w="2000" w:type="dxa"/>
          </w:tcPr>
          <w:p>
            <w:pPr>
              <w:jc w:val="center"/>
            </w:pPr>
            <w:r>
              <w:rPr/>
              <w:t xml:space="preserve">3.3</w:t>
            </w:r>
          </w:p>
        </w:tc>
        <w:tc>
          <w:tcPr>
            <w:tcW w:w="5000" w:type="dxa"/>
          </w:tcPr>
          <w:p>
            <w:pPr/>
            <w:r>
              <w:rPr/>
              <w:t xml:space="preserve">Kompetence k objevování a orientaci v informacích</w:t>
            </w:r>
          </w:p>
        </w:tc>
        <w:tc>
          <w:tcPr>
            <w:tcW w:w="2000" w:type="dxa"/>
          </w:tcPr>
          <w:p>
            <w:pPr>
              <w:jc w:val="center"/>
            </w:pPr>
            <w:r>
              <w:rPr/>
              <w:t xml:space="preserve">3</w:t>
            </w:r>
          </w:p>
        </w:tc>
      </w:tr>
    </w:tbl>
    <w:p>
      <w:pPr/>
      <w:r>
        <w:rPr>
          <w:sz w:val="16"/>
          <w:szCs w:val="16"/>
          <w:i w:val="1"/>
          <w:iCs w:val="1"/>
        </w:rPr>
        <w:t xml:space="preserve">Popisy úrovní naleznete zde: https://nsp.cz/downloads/Priloha_c9_manualu.pdf</w:t>
      </w:r>
    </w:p>
    <w:p/>
    <w:p>
      <w:pPr>
        <w:pStyle w:val="Heading2"/>
      </w:pPr>
      <w:bookmarkStart w:id="19" w:name="_Toc19"/>
      <w:r>
        <w:t>Zdravotní podmínky</w:t>
      </w:r>
      <w:bookmarkEnd w:id="19"/>
    </w:p>
    <w:p>
      <w:pPr>
        <w:pStyle w:val="Heading3"/>
      </w:pPr>
      <w:bookmarkStart w:id="20" w:name="_Toc20"/>
      <w:r>
        <w:t>Onemocnění omezující výkon povolání / specializace povolání.</w:t>
      </w:r>
      <w:bookmarkEnd w:id="20"/>
    </w:p>
    <w:p>
      <w:pPr>
        <w:numPr>
          <w:ilvl w:val="0"/>
          <w:numId w:val="5"/>
        </w:numPr>
      </w:pPr>
      <w:r>
        <w:rPr/>
        <w:t xml:space="preserve">Závažná chronická onemocnění kůže a spojivek</w:t>
      </w:r>
    </w:p>
    <w:p>
      <w:pPr>
        <w:numPr>
          <w:ilvl w:val="0"/>
          <w:numId w:val="5"/>
        </w:numPr>
      </w:pPr>
      <w:r>
        <w:rPr/>
        <w:t xml:space="preserve">Závažná orgánová onemocnění podle toxikologických vlastností látek</w:t>
      </w:r>
    </w:p>
    <w:p>
      <w:pPr>
        <w:numPr>
          <w:ilvl w:val="0"/>
          <w:numId w:val="5"/>
        </w:numPr>
      </w:pPr>
      <w:r>
        <w:rPr/>
        <w:t xml:space="preserve">Alergická onemocnění</w:t>
      </w:r>
    </w:p>
    <w:p>
      <w:pPr/>
      <w:r>
        <w:rPr>
          <w:sz w:val="16"/>
          <w:szCs w:val="16"/>
          <w:i w:val="1"/>
          <w:iCs w:val="1"/>
        </w:rPr>
        <w:t xml:space="preserve">Přesné posouzení zdravotního stavu s následným doporučením nebo nedoporučením výkonu této pozice je možné pouze po konzultaci s lékařem.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50FA4C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after="120"/>
    </w:pPr>
    <w:rPr>
      <w:sz w:val="40"/>
      <w:szCs w:val="40"/>
      <w:b w:val="1"/>
      <w:bCs w:val="1"/>
    </w:rPr>
  </w:style>
  <w:style w:type="paragraph" w:styleId="Heading2">
    <w:link w:val="Heading2Char"/>
    <w:name w:val="heading 2"/>
    <w:basedOn w:val="Normal"/>
    <w:pPr>
      <w:spacing w:after="80"/>
    </w:pPr>
    <w:rPr>
      <w:sz w:val="28"/>
      <w:szCs w:val="28"/>
      <w:b w:val="1"/>
      <w:bCs w:val="1"/>
    </w:rPr>
  </w:style>
  <w:style w:type="paragraph" w:styleId="Heading3">
    <w:link w:val="Heading3Char"/>
    <w:name w:val="heading 3"/>
    <w:basedOn w:val="Normal"/>
    <w:pPr>
      <w:spacing w:after="60"/>
    </w:pPr>
    <w:rPr>
      <w:sz w:val="24"/>
      <w:szCs w:val="24"/>
      <w:b w:val="1"/>
      <w:bCs w:val="1"/>
    </w:rPr>
  </w:style>
  <w:style w:type="paragraph" w:styleId="Heading4">
    <w:link w:val="Heading4Char"/>
    <w:name w:val="heading 4"/>
    <w:basedOn w:val="Normal"/>
    <w:pPr>
      <w:spacing w:after="6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FDV</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NSP.CZ</dc:creator>
  <dc:title>Chemický technik pro kompozitní materiály</dc:title>
  <dc:description>Chemický technik pro kompozitní materiály řídí a kontroluje jednoduché nebo dílčí technologické operace podle standardních postupů pro výrobu kompozitu.</dc:description>
  <dc:subject/>
  <cp:keywords/>
  <cp:category>Specializace</cp:category>
  <cp:lastModifiedBy/>
  <dcterms:created xsi:type="dcterms:W3CDTF">2017-11-22T09:32:40+01:00</dcterms:created>
  <dcterms:modified xsi:type="dcterms:W3CDTF">2024-03-26T10:03:33+01:00</dcterms:modified>
</cp:coreProperties>
</file>

<file path=docProps/custom.xml><?xml version="1.0" encoding="utf-8"?>
<Properties xmlns="http://schemas.openxmlformats.org/officeDocument/2006/custom-properties" xmlns:vt="http://schemas.openxmlformats.org/officeDocument/2006/docPropsVTypes"/>
</file>