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silničních válců</w:t>
      </w:r>
      <w:bookmarkEnd w:id="1"/>
    </w:p>
    <w:p>
      <w:pPr/>
      <w:r>
        <w:rPr/>
        <w:t xml:space="preserve">Obsluha stavebních strojů silničních válců obsluhuje všechny typy silničních válců, provádí hutnění zemin a podkladních vrstev komunikací a zpevněných ploch, provádí konečnou úpravu asfaltobetonových povrchů a silničních dlažeb.</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silničních válců</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Prohlídka terénu, kontrola vhodnosti nasazení daného stroje.</w:t>
      </w:r>
    </w:p>
    <w:p>
      <w:pPr>
        <w:numPr>
          <w:ilvl w:val="0"/>
          <w:numId w:val="5"/>
        </w:numPr>
      </w:pPr>
      <w:r>
        <w:rPr/>
        <w:t xml:space="preserve">Stanovení pracovního postupu a metody hutnění.</w:t>
      </w:r>
    </w:p>
    <w:p>
      <w:pPr>
        <w:numPr>
          <w:ilvl w:val="0"/>
          <w:numId w:val="5"/>
        </w:numPr>
      </w:pPr>
      <w:r>
        <w:rPr/>
        <w:t xml:space="preserve">Příprava pracovního zařízení podle hutněného materiálu.</w:t>
      </w:r>
    </w:p>
    <w:p>
      <w:pPr>
        <w:numPr>
          <w:ilvl w:val="0"/>
          <w:numId w:val="5"/>
        </w:numPr>
      </w:pPr>
      <w:r>
        <w:rPr/>
        <w:t xml:space="preserve">Dodržování požadavků bezpečnosti práce.</w:t>
      </w:r>
    </w:p>
    <w:p>
      <w:pPr>
        <w:numPr>
          <w:ilvl w:val="0"/>
          <w:numId w:val="5"/>
        </w:numPr>
      </w:pPr>
      <w:r>
        <w:rPr/>
        <w:t xml:space="preserve">Obsluha silničního válce.</w:t>
      </w:r>
    </w:p>
    <w:p>
      <w:pPr>
        <w:numPr>
          <w:ilvl w:val="0"/>
          <w:numId w:val="5"/>
        </w:numPr>
      </w:pPr>
      <w:r>
        <w:rPr/>
        <w:t xml:space="preserve">Kontrola provedené práce po hutněných vrstvách.</w:t>
      </w:r>
    </w:p>
    <w:p>
      <w:pPr>
        <w:numPr>
          <w:ilvl w:val="0"/>
          <w:numId w:val="5"/>
        </w:numPr>
      </w:pPr>
      <w:r>
        <w:rPr/>
        <w:t xml:space="preserve">Ošetření a údržba strojů a nástrojů po skončení práce.</w:t>
      </w:r>
    </w:p>
    <w:p>
      <w:pPr>
        <w:numPr>
          <w:ilvl w:val="0"/>
          <w:numId w:val="5"/>
        </w:numPr>
      </w:pPr>
      <w:r>
        <w:rPr/>
        <w:t xml:space="preserve">Provádění pravidelné údržby silničního válce.</w:t>
      </w:r>
    </w:p>
    <w:p>
      <w:pPr>
        <w:numPr>
          <w:ilvl w:val="0"/>
          <w:numId w:val="5"/>
        </w:numPr>
      </w:pPr>
      <w:r>
        <w:rPr/>
        <w:t xml:space="preserve">Vedení technické dokumentace.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v oboru dopravní a vodohospodářské stavitelství</w:t>
            </w:r>
          </w:p>
        </w:tc>
        <w:tc>
          <w:tcPr>
            <w:tcW w:w="2000" w:type="dxa"/>
          </w:tcPr>
          <w:p>
            <w:pPr>
              <w:jc w:val="center"/>
            </w:pPr>
            <w:r>
              <w:rPr/>
              <w:t xml:space="preserve">3642L</w:t>
            </w:r>
          </w:p>
        </w:tc>
      </w:tr>
      <w:tr>
        <w:trPr/>
        <w:tc>
          <w:tcPr>
            <w:tcW w:w="2000" w:type="dxa"/>
          </w:tcPr>
          <w:p>
            <w:pPr>
              <w:jc w:val="center"/>
            </w:pPr>
            <w:r>
              <w:rPr/>
              <w:t xml:space="preserve">RVP</w:t>
            </w:r>
          </w:p>
        </w:tc>
        <w:tc>
          <w:tcPr>
            <w:tcW w:w="5000" w:type="dxa"/>
          </w:tcPr>
          <w:p>
            <w:pPr/>
            <w:r>
              <w:rPr/>
              <w:t xml:space="preserve">Strojník silničních strojů</w:t>
            </w:r>
          </w:p>
        </w:tc>
        <w:tc>
          <w:tcPr>
            <w:tcW w:w="2000" w:type="dxa"/>
          </w:tcPr>
          <w:p>
            <w:pPr>
              <w:jc w:val="center"/>
            </w:pPr>
            <w:r>
              <w:rPr/>
              <w:t xml:space="preserve">23-65-H/03</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bez maturitní zkoušky i výučního listu v oboru dopravní a vodohospodářské stavitelství</w:t>
            </w:r>
          </w:p>
        </w:tc>
        <w:tc>
          <w:tcPr>
            <w:tcW w:w="2000" w:type="dxa"/>
          </w:tcPr>
          <w:p>
            <w:pPr>
              <w:jc w:val="center"/>
            </w:pPr>
            <w:r>
              <w:rPr/>
              <w:t xml:space="preserve">3642J</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2365E</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povinné - Dopravně psychologické vyšetření řidičů podle zákona č. 361/2000 Sb., o provozu na pozemních komunikacích</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g11.D.1021</w:t>
            </w:r>
          </w:p>
        </w:tc>
        <w:tc>
          <w:tcPr>
            <w:tcW w:w="3000" w:type="dxa"/>
          </w:tcPr>
          <w:p>
            <w:pPr/>
            <w:r>
              <w:rPr/>
              <w:t xml:space="preserve">Orientace ve vyhláškách, normách a technických předpisech týkajících se řízení a obsluhy příslušných druhů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g12.D.2584</w:t>
            </w:r>
          </w:p>
        </w:tc>
        <w:tc>
          <w:tcPr>
            <w:tcW w:w="3000" w:type="dxa"/>
          </w:tcPr>
          <w:p>
            <w:pPr/>
            <w:r>
              <w:rPr/>
              <w:t xml:space="preserve">Volba vhodnosti nasazení daného stroje na základě prohlídky terénu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g12.D.2606</w:t>
            </w:r>
          </w:p>
        </w:tc>
        <w:tc>
          <w:tcPr>
            <w:tcW w:w="3000" w:type="dxa"/>
          </w:tcPr>
          <w:p>
            <w:pPr/>
            <w:r>
              <w:rPr/>
              <w:t xml:space="preserve">Volba pracovního postupu a metody hutnění zemin popř. jiných materiálů dle jejich druhu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g12.B.5565</w:t>
            </w:r>
          </w:p>
        </w:tc>
        <w:tc>
          <w:tcPr>
            <w:tcW w:w="3000" w:type="dxa"/>
          </w:tcPr>
          <w:p>
            <w:pPr/>
            <w:r>
              <w:rPr/>
              <w:t xml:space="preserve">Seřízení silničního válce podle hutněného materiálu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g12.B.5563</w:t>
            </w:r>
          </w:p>
        </w:tc>
        <w:tc>
          <w:tcPr>
            <w:tcW w:w="3000" w:type="dxa"/>
          </w:tcPr>
          <w:p>
            <w:pPr/>
            <w:r>
              <w:rPr/>
              <w:t xml:space="preserve">Kontrola nastavení silničního válce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g12.B.5564</w:t>
            </w:r>
          </w:p>
        </w:tc>
        <w:tc>
          <w:tcPr>
            <w:tcW w:w="3000" w:type="dxa"/>
          </w:tcPr>
          <w:p>
            <w:pPr/>
            <w:r>
              <w:rPr/>
              <w:t xml:space="preserve">Řízení a obsluha silničních válců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g12.A.3078</w:t>
            </w:r>
          </w:p>
        </w:tc>
        <w:tc>
          <w:tcPr>
            <w:tcW w:w="3000" w:type="dxa"/>
          </w:tcPr>
          <w:p>
            <w:pPr/>
            <w:r>
              <w:rPr/>
              <w:t xml:space="preserve">Ošetřování a údržba silničních válců</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l24._.0001</w:t>
            </w:r>
          </w:p>
        </w:tc>
        <w:tc>
          <w:tcPr>
            <w:tcW w:w="3000" w:type="dxa"/>
          </w:tcPr>
          <w:p>
            <w:pPr/>
            <w:r>
              <w:rPr/>
              <w:t xml:space="preserve">bezpečnost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j15._.0006</w:t>
            </w:r>
          </w:p>
        </w:tc>
        <w:tc>
          <w:tcPr>
            <w:tcW w:w="3000" w:type="dxa"/>
          </w:tcPr>
          <w:p>
            <w:pPr/>
            <w:r>
              <w:rPr/>
              <w:t xml:space="preserve">geomechanika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CEF84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silničních válců</dc:title>
  <dc:description>Obsluha stavebních strojů silničních válců obsluhuje všechny typy silničních válců, provádí hutnění zemin a podkladních vrstev komunikací a zpevněných ploch, provádí konečnou úpravu asfaltobetonových povrchů a silničních dlažeb.</dc:description>
  <dc:subject/>
  <cp:keywords/>
  <cp:category>Specializace</cp:category>
  <cp:lastModifiedBy/>
  <dcterms:created xsi:type="dcterms:W3CDTF">2017-11-22T09:32:33+01:00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