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Investiční makléř</w:t>
      </w:r>
      <w:bookmarkEnd w:id="1"/>
    </w:p>
    <w:p>
      <w:pPr/>
      <w:r>
        <w:rPr/>
        <w:t xml:space="preserve">Investiční makléř provádí pokyny na účet zákazníka nebo uskutečňuje obchody na vlastní účet týkající se investičních nástrojů nebo upisování nebo umisťování investičních nástrojů se závazkem nebo bez závazku jejich upsání. Koordinuje a zajišťuje nákup a prodej cenných papírů, akcií a obligací v zastoupení vlastní společnosti nebo zákazníků na základě jejich pověření.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Share dealer, Stock broker, Burzovní poradce, Burzovní expert, Obchodník s cennými papíry, Burzovní makléř, Equity salesman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Získávání a vyhodnocování informací o aktuálním vývoji na tuzemských a zahraničních kapitálových a finančních trzích.</w:t>
      </w:r>
    </w:p>
    <w:p>
      <w:pPr>
        <w:numPr>
          <w:ilvl w:val="0"/>
          <w:numId w:val="5"/>
        </w:numPr>
      </w:pPr>
      <w:r>
        <w:rPr/>
        <w:t xml:space="preserve">Sledování a analyzování vývoje trhu s cennými papíry, akciemi, obligacemi a jinými finančními nástroji včetně deviz.</w:t>
      </w:r>
    </w:p>
    <w:p>
      <w:pPr>
        <w:numPr>
          <w:ilvl w:val="0"/>
          <w:numId w:val="5"/>
        </w:numPr>
      </w:pPr>
      <w:r>
        <w:rPr/>
        <w:t xml:space="preserve">Nákup a prodej všech druhů finančních prostředků včetně deviz v zastoupení vlastní společnosti nebo zákazníků.</w:t>
      </w:r>
    </w:p>
    <w:p>
      <w:pPr>
        <w:numPr>
          <w:ilvl w:val="0"/>
          <w:numId w:val="5"/>
        </w:numPr>
      </w:pPr>
      <w:r>
        <w:rPr/>
        <w:t xml:space="preserve">Získávání všech potřebných informací pro příslušné finančně-investiční transakce.</w:t>
      </w:r>
    </w:p>
    <w:p>
      <w:pPr>
        <w:numPr>
          <w:ilvl w:val="0"/>
          <w:numId w:val="5"/>
        </w:numPr>
      </w:pPr>
      <w:r>
        <w:rPr/>
        <w:t xml:space="preserve">Informování zákazníků o situaci na finančním trhu a perspektivách jeho vývoje.</w:t>
      </w:r>
    </w:p>
    <w:p>
      <w:pPr>
        <w:numPr>
          <w:ilvl w:val="0"/>
          <w:numId w:val="5"/>
        </w:numPr>
      </w:pPr>
      <w:r>
        <w:rPr/>
        <w:t xml:space="preserve">Zajištění odborného poradenství pro členy týmu.</w:t>
      </w:r>
    </w:p>
    <w:p>
      <w:pPr>
        <w:numPr>
          <w:ilvl w:val="0"/>
          <w:numId w:val="5"/>
        </w:numPr>
      </w:pPr>
      <w:r>
        <w:rPr/>
        <w:t xml:space="preserve">Vedení příslušné dokumentace.</w:t>
      </w:r>
    </w:p>
    <w:p/>
    <w:p>
      <w:pPr>
        <w:pStyle w:val="Heading2"/>
      </w:pPr>
      <w:bookmarkStart w:id="3" w:name="_Toc3"/>
      <w:r>
        <w:t>CZ-ISCO</w:t>
      </w:r>
      <w:bookmarkEnd w:id="3"/>
    </w:p>
    <w:p>
      <w:pPr>
        <w:numPr>
          <w:ilvl w:val="0"/>
          <w:numId w:val="5"/>
        </w:numPr>
      </w:pPr>
      <w:r>
        <w:rPr/>
        <w:t xml:space="preserve">Burzovní makléři</w:t>
      </w:r>
    </w:p>
    <w:p>
      <w:pPr>
        <w:numPr>
          <w:ilvl w:val="0"/>
          <w:numId w:val="5"/>
        </w:numPr>
      </w:pPr>
      <w:r>
        <w:rPr/>
        <w:t xml:space="preserve">Finanční a investiční poradci a příbuzní specialisté</w:t>
      </w:r>
    </w:p>
    <w:p/>
    <w:p>
      <w:pPr>
        <w:pStyle w:val="Heading3"/>
      </w:pPr>
      <w:bookmarkStart w:id="4" w:name="_Toc4"/>
      <w:r>
        <w:t>Hrubé měsíční mzdy podle krajů v roce 2023</w:t>
      </w:r>
      <w:bookmarkEnd w:id="4"/>
    </w:p>
    <w:p>
      <w:pPr>
        <w:pStyle w:val="Heading4"/>
      </w:pPr>
      <w:bookmarkStart w:id="5" w:name="_Toc5"/>
      <w:r>
        <w:t>Finanční a investiční poradci a příbuzní specialisté (CZ-ISCO 2412)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43 335 Kč</w:t>
            </w:r>
          </w:p>
        </w:tc>
        <w:tc>
          <w:tcPr>
            <w:tcW w:w="1000" w:type="dxa"/>
          </w:tcPr>
          <w:p>
            <w:pPr>
              <w:jc w:val="center"/>
            </w:pPr>
            <w:r>
              <w:rPr/>
              <w:t xml:space="preserve">78 474 Kč</w:t>
            </w:r>
          </w:p>
        </w:tc>
        <w:tc>
          <w:tcPr>
            <w:tcW w:w="1000" w:type="dxa"/>
          </w:tcPr>
          <w:p>
            <w:pPr>
              <w:jc w:val="center"/>
            </w:pPr>
            <w:r>
              <w:rPr>
                <w:sz w:val="16"/>
                <w:szCs w:val="16"/>
              </w:rPr>
              <w:t xml:space="preserve">183 771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50 968 Kč</w:t>
            </w:r>
          </w:p>
        </w:tc>
        <w:tc>
          <w:tcPr>
            <w:tcW w:w="1000" w:type="dxa"/>
          </w:tcPr>
          <w:p>
            <w:pPr>
              <w:jc w:val="center"/>
            </w:pPr>
            <w:r>
              <w:rPr/>
              <w:t xml:space="preserve">60 916 Kč</w:t>
            </w:r>
          </w:p>
        </w:tc>
        <w:tc>
          <w:tcPr>
            <w:tcW w:w="1000" w:type="dxa"/>
          </w:tcPr>
          <w:p>
            <w:pPr>
              <w:jc w:val="center"/>
            </w:pPr>
            <w:r>
              <w:rPr/>
              <w:t xml:space="preserve">84 700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49 908 Kč</w:t>
            </w:r>
          </w:p>
        </w:tc>
        <w:tc>
          <w:tcPr>
            <w:tcW w:w="1000" w:type="dxa"/>
          </w:tcPr>
          <w:p>
            <w:pPr>
              <w:jc w:val="center"/>
            </w:pPr>
            <w:r>
              <w:rPr/>
              <w:t xml:space="preserve">67 320 Kč</w:t>
            </w:r>
          </w:p>
        </w:tc>
        <w:tc>
          <w:tcPr>
            <w:tcW w:w="1000" w:type="dxa"/>
          </w:tcPr>
          <w:p>
            <w:pPr>
              <w:jc w:val="center"/>
            </w:pPr>
            <w:r>
              <w:rPr>
                <w:sz w:val="16"/>
                <w:szCs w:val="16"/>
              </w:rPr>
              <w:t xml:space="preserve">113 953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36 335 Kč</w:t>
            </w:r>
          </w:p>
        </w:tc>
        <w:tc>
          <w:tcPr>
            <w:tcW w:w="1000" w:type="dxa"/>
          </w:tcPr>
          <w:p>
            <w:pPr>
              <w:jc w:val="center"/>
            </w:pPr>
            <w:r>
              <w:rPr/>
              <w:t xml:space="preserve">58 988 Kč</w:t>
            </w:r>
          </w:p>
        </w:tc>
        <w:tc>
          <w:tcPr>
            <w:tcW w:w="1000" w:type="dxa"/>
          </w:tcPr>
          <w:p>
            <w:pPr>
              <w:jc w:val="center"/>
            </w:pPr>
            <w:r>
              <w:rPr/>
              <w:t xml:space="preserve">99 123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56 716 Kč</w:t>
            </w:r>
          </w:p>
        </w:tc>
        <w:tc>
          <w:tcPr>
            <w:tcW w:w="1000" w:type="dxa"/>
          </w:tcPr>
          <w:p>
            <w:pPr>
              <w:jc w:val="center"/>
            </w:pPr>
            <w:r>
              <w:rPr/>
              <w:t xml:space="preserve">67 002 Kč</w:t>
            </w:r>
          </w:p>
        </w:tc>
        <w:tc>
          <w:tcPr>
            <w:tcW w:w="1000" w:type="dxa"/>
          </w:tcPr>
          <w:p>
            <w:pPr>
              <w:jc w:val="center"/>
            </w:pPr>
            <w:r>
              <w:rPr/>
              <w:t xml:space="preserve">98 603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48 577 Kč</w:t>
            </w:r>
          </w:p>
        </w:tc>
        <w:tc>
          <w:tcPr>
            <w:tcW w:w="1000" w:type="dxa"/>
          </w:tcPr>
          <w:p>
            <w:pPr>
              <w:jc w:val="center"/>
            </w:pPr>
            <w:r>
              <w:rPr/>
              <w:t xml:space="preserve">67 427 Kč</w:t>
            </w:r>
          </w:p>
        </w:tc>
        <w:tc>
          <w:tcPr>
            <w:tcW w:w="1000" w:type="dxa"/>
          </w:tcPr>
          <w:p>
            <w:pPr>
              <w:jc w:val="center"/>
            </w:pPr>
            <w:r>
              <w:rPr>
                <w:sz w:val="16"/>
                <w:szCs w:val="16"/>
              </w:rPr>
              <w:t xml:space="preserve">115 749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47 895 Kč</w:t>
            </w:r>
          </w:p>
        </w:tc>
        <w:tc>
          <w:tcPr>
            <w:tcW w:w="1000" w:type="dxa"/>
          </w:tcPr>
          <w:p>
            <w:pPr>
              <w:jc w:val="center"/>
            </w:pPr>
            <w:r>
              <w:rPr/>
              <w:t xml:space="preserve">58 173 Kč</w:t>
            </w:r>
          </w:p>
        </w:tc>
        <w:tc>
          <w:tcPr>
            <w:tcW w:w="1000" w:type="dxa"/>
          </w:tcPr>
          <w:p>
            <w:pPr>
              <w:jc w:val="center"/>
            </w:pPr>
            <w:r>
              <w:rPr>
                <w:sz w:val="16"/>
                <w:szCs w:val="16"/>
              </w:rPr>
              <w:t xml:space="preserve">108 428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36 760 Kč</w:t>
            </w:r>
          </w:p>
        </w:tc>
        <w:tc>
          <w:tcPr>
            <w:tcW w:w="1000" w:type="dxa"/>
          </w:tcPr>
          <w:p>
            <w:pPr>
              <w:jc w:val="center"/>
            </w:pPr>
            <w:r>
              <w:rPr/>
              <w:t xml:space="preserve">57 159 Kč</w:t>
            </w:r>
          </w:p>
        </w:tc>
        <w:tc>
          <w:tcPr>
            <w:tcW w:w="1000" w:type="dxa"/>
          </w:tcPr>
          <w:p>
            <w:pPr>
              <w:jc w:val="center"/>
            </w:pPr>
            <w:r>
              <w:rPr>
                <w:sz w:val="16"/>
                <w:szCs w:val="16"/>
              </w:rPr>
              <w:t xml:space="preserve">112 223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52 130 Kč</w:t>
            </w:r>
          </w:p>
        </w:tc>
        <w:tc>
          <w:tcPr>
            <w:tcW w:w="1000" w:type="dxa"/>
          </w:tcPr>
          <w:p>
            <w:pPr>
              <w:jc w:val="center"/>
            </w:pPr>
            <w:r>
              <w:rPr/>
              <w:t xml:space="preserve">64 762 Kč</w:t>
            </w:r>
          </w:p>
        </w:tc>
        <w:tc>
          <w:tcPr>
            <w:tcW w:w="1000" w:type="dxa"/>
          </w:tcPr>
          <w:p>
            <w:pPr>
              <w:jc w:val="center"/>
            </w:pPr>
            <w:r>
              <w:rPr>
                <w:sz w:val="16"/>
                <w:szCs w:val="16"/>
              </w:rPr>
              <w:t xml:space="preserve">106 331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47 815 Kč</w:t>
            </w:r>
          </w:p>
        </w:tc>
        <w:tc>
          <w:tcPr>
            <w:tcW w:w="1000" w:type="dxa"/>
          </w:tcPr>
          <w:p>
            <w:pPr>
              <w:jc w:val="center"/>
            </w:pPr>
            <w:r>
              <w:rPr/>
              <w:t xml:space="preserve">63 480 Kč</w:t>
            </w:r>
          </w:p>
        </w:tc>
        <w:tc>
          <w:tcPr>
            <w:tcW w:w="1000" w:type="dxa"/>
          </w:tcPr>
          <w:p>
            <w:pPr>
              <w:jc w:val="center"/>
            </w:pPr>
            <w:r>
              <w:rPr>
                <w:sz w:val="16"/>
                <w:szCs w:val="16"/>
              </w:rPr>
              <w:t xml:space="preserve">112 494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38 498 Kč</w:t>
            </w:r>
          </w:p>
        </w:tc>
        <w:tc>
          <w:tcPr>
            <w:tcW w:w="1000" w:type="dxa"/>
          </w:tcPr>
          <w:p>
            <w:pPr>
              <w:jc w:val="center"/>
            </w:pPr>
            <w:r>
              <w:rPr/>
              <w:t xml:space="preserve">66 160 Kč</w:t>
            </w:r>
          </w:p>
        </w:tc>
        <w:tc>
          <w:tcPr>
            <w:tcW w:w="1000" w:type="dxa"/>
          </w:tcPr>
          <w:p>
            <w:pPr>
              <w:jc w:val="center"/>
            </w:pPr>
            <w:r>
              <w:rPr>
                <w:sz w:val="16"/>
                <w:szCs w:val="16"/>
              </w:rPr>
              <w:t xml:space="preserve">125 373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47 991 Kč</w:t>
            </w:r>
          </w:p>
        </w:tc>
        <w:tc>
          <w:tcPr>
            <w:tcW w:w="1000" w:type="dxa"/>
          </w:tcPr>
          <w:p>
            <w:pPr>
              <w:jc w:val="center"/>
            </w:pPr>
            <w:r>
              <w:rPr/>
              <w:t xml:space="preserve">64 951 Kč</w:t>
            </w:r>
          </w:p>
        </w:tc>
        <w:tc>
          <w:tcPr>
            <w:tcW w:w="1000" w:type="dxa"/>
          </w:tcPr>
          <w:p>
            <w:pPr>
              <w:jc w:val="center"/>
            </w:pPr>
            <w:r>
              <w:rPr>
                <w:sz w:val="16"/>
                <w:szCs w:val="16"/>
              </w:rPr>
              <w:t xml:space="preserve">113 769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38 842 Kč</w:t>
            </w:r>
          </w:p>
        </w:tc>
        <w:tc>
          <w:tcPr>
            <w:tcW w:w="1000" w:type="dxa"/>
          </w:tcPr>
          <w:p>
            <w:pPr>
              <w:jc w:val="center"/>
            </w:pPr>
            <w:r>
              <w:rPr/>
              <w:t xml:space="preserve">57 378 Kč</w:t>
            </w:r>
          </w:p>
        </w:tc>
        <w:tc>
          <w:tcPr>
            <w:tcW w:w="1000" w:type="dxa"/>
          </w:tcPr>
          <w:p>
            <w:pPr>
              <w:jc w:val="center"/>
            </w:pPr>
            <w:r>
              <w:rPr>
                <w:sz w:val="16"/>
                <w:szCs w:val="16"/>
              </w:rPr>
              <w:t xml:space="preserve">128 052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40 686 Kč</w:t>
            </w:r>
          </w:p>
        </w:tc>
        <w:tc>
          <w:tcPr>
            <w:tcW w:w="1000" w:type="dxa"/>
          </w:tcPr>
          <w:p>
            <w:pPr>
              <w:jc w:val="center"/>
            </w:pPr>
            <w:r>
              <w:rPr/>
              <w:t xml:space="preserve">58 851 Kč</w:t>
            </w:r>
          </w:p>
        </w:tc>
        <w:tc>
          <w:tcPr>
            <w:tcW w:w="1000" w:type="dxa"/>
          </w:tcPr>
          <w:p>
            <w:pPr>
              <w:jc w:val="center"/>
            </w:pPr>
            <w:r>
              <w:rPr>
                <w:sz w:val="16"/>
                <w:szCs w:val="16"/>
              </w:rPr>
              <w:t xml:space="preserve">111 328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2412</w:t>
            </w:r>
          </w:p>
        </w:tc>
        <w:tc>
          <w:tcPr>
            <w:tcW w:w="2000" w:type="dxa"/>
          </w:tcPr>
          <w:p>
            <w:pPr/>
            <w:r>
              <w:rPr/>
              <w:t xml:space="preserve">Finanční a investiční poradci a příbuzní specialisté</w:t>
            </w:r>
          </w:p>
        </w:tc>
        <w:tc>
          <w:tcPr>
            <w:tcW w:w="1000" w:type="dxa"/>
          </w:tcPr>
          <w:p>
            <w:pPr>
              <w:jc w:val="center"/>
            </w:pPr>
            <w:r>
              <w:rPr/>
              <w:t xml:space="preserve">-</w:t>
            </w:r>
          </w:p>
        </w:tc>
        <w:tc>
          <w:tcPr>
            <w:tcW w:w="1000" w:type="dxa"/>
          </w:tcPr>
          <w:p>
            <w:pPr>
              <w:jc w:val="center"/>
            </w:pPr>
            <w:r>
              <w:rPr/>
              <w:t xml:space="preserve">73 321 Kč</w:t>
            </w:r>
          </w:p>
        </w:tc>
      </w:tr>
    </w:tbl>
    <w:p/>
    <w:p>
      <w:pPr>
        <w:pStyle w:val="Heading2"/>
      </w:pPr>
      <w:bookmarkStart w:id="7" w:name="_Toc7"/>
      <w:r>
        <w:t>Pracovní podmínky</w:t>
      </w:r>
      <w:bookmarkEnd w:id="7"/>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ekonomika a management</w:t>
            </w:r>
          </w:p>
        </w:tc>
        <w:tc>
          <w:tcPr>
            <w:tcW w:w="2000" w:type="dxa"/>
          </w:tcPr>
          <w:p>
            <w:pPr>
              <w:jc w:val="center"/>
            </w:pPr>
            <w:r>
              <w:rPr/>
              <w:t xml:space="preserve">6208T</w:t>
            </w:r>
          </w:p>
        </w:tc>
      </w:tr>
      <w:tr>
        <w:trPr/>
        <w:tc>
          <w:tcPr>
            <w:tcW w:w="2000" w:type="dxa"/>
          </w:tcPr>
          <w:p>
            <w:pPr>
              <w:jc w:val="center"/>
            </w:pPr>
            <w:r>
              <w:rPr/>
              <w:t xml:space="preserve">KKOV</w:t>
            </w:r>
          </w:p>
        </w:tc>
        <w:tc>
          <w:tcPr>
            <w:tcW w:w="5000" w:type="dxa"/>
          </w:tcPr>
          <w:p>
            <w:pPr/>
            <w:r>
              <w:rPr/>
              <w:t xml:space="preserve">Magisterský studijní program v oboru matematika</w:t>
            </w:r>
          </w:p>
        </w:tc>
        <w:tc>
          <w:tcPr>
            <w:tcW w:w="2000" w:type="dxa"/>
          </w:tcPr>
          <w:p>
            <w:pPr>
              <w:jc w:val="center"/>
            </w:pPr>
            <w:r>
              <w:rPr/>
              <w:t xml:space="preserve">1101T</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Vyšší odborné vzdělání</w:t>
            </w:r>
          </w:p>
        </w:tc>
        <w:tc>
          <w:tcPr>
            <w:tcW w:w="2000" w:type="dxa"/>
          </w:tcPr>
          <w:p>
            <w:pPr>
              <w:jc w:val="center"/>
            </w:pPr>
            <w:r>
              <w:rPr/>
              <w:t xml:space="preserve">xxxxN</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KKOV</w:t>
            </w:r>
          </w:p>
        </w:tc>
        <w:tc>
          <w:tcPr>
            <w:tcW w:w="5000" w:type="dxa"/>
          </w:tcPr>
          <w:p>
            <w:pPr/>
            <w:r>
              <w:rPr/>
              <w:t xml:space="preserve">Bakalářský studijní program v oboru ekonomické teorie</w:t>
            </w:r>
          </w:p>
        </w:tc>
        <w:tc>
          <w:tcPr>
            <w:tcW w:w="2000" w:type="dxa"/>
          </w:tcPr>
          <w:p>
            <w:pPr>
              <w:jc w:val="center"/>
            </w:pPr>
            <w:r>
              <w:rPr/>
              <w:t xml:space="preserve">6201R</w:t>
            </w:r>
          </w:p>
        </w:tc>
      </w:tr>
      <w:tr>
        <w:trPr/>
        <w:tc>
          <w:tcPr>
            <w:tcW w:w="2000" w:type="dxa"/>
          </w:tcPr>
          <w:p>
            <w:pPr>
              <w:jc w:val="center"/>
            </w:pPr>
            <w:r>
              <w:rPr/>
              <w:t xml:space="preserve">KKOV</w:t>
            </w:r>
          </w:p>
        </w:tc>
        <w:tc>
          <w:tcPr>
            <w:tcW w:w="5000" w:type="dxa"/>
          </w:tcPr>
          <w:p>
            <w:pPr/>
            <w:r>
              <w:rPr/>
              <w:t xml:space="preserve">Bakalářský studijní program v oboru matematika</w:t>
            </w:r>
          </w:p>
        </w:tc>
        <w:tc>
          <w:tcPr>
            <w:tcW w:w="2000" w:type="dxa"/>
          </w:tcPr>
          <w:p>
            <w:pPr>
              <w:jc w:val="center"/>
            </w:pPr>
            <w:r>
              <w:rPr/>
              <w:t xml:space="preserve">1101R</w:t>
            </w:r>
          </w:p>
        </w:tc>
      </w:tr>
    </w:tbl>
    <w:p>
      <w:pPr>
        <w:pStyle w:val="Heading3"/>
      </w:pPr>
      <w:bookmarkStart w:id="12" w:name="_Toc12"/>
      <w:r>
        <w:t>Legislativní požadavky</w:t>
      </w:r>
      <w:bookmarkEnd w:id="12"/>
    </w:p>
    <w:p>
      <w:pPr>
        <w:numPr>
          <w:ilvl w:val="0"/>
          <w:numId w:val="5"/>
        </w:numPr>
      </w:pPr>
      <w:r>
        <w:rPr/>
        <w:t xml:space="preserve">doporučené - Odborná způsobilost podle § 14a, odst. 2 a 3 zákona č. 256/2004 Sb., o podnikání na kapitálovém trhu a vyhlášky č. 143/2009 Sb., o odbornosti osob, pomocí kterých provádí obchodník s cennými papíry své činnosti</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i13.D.6452</w:t>
            </w:r>
          </w:p>
        </w:tc>
        <w:tc>
          <w:tcPr>
            <w:tcW w:w="3000" w:type="dxa"/>
          </w:tcPr>
          <w:p>
            <w:pPr/>
            <w:r>
              <w:rPr/>
              <w:t xml:space="preserve">Provádění vlastních analýz vývoje kapitálových trhů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i13.D.8451</w:t>
            </w:r>
          </w:p>
        </w:tc>
        <w:tc>
          <w:tcPr>
            <w:tcW w:w="3000" w:type="dxa"/>
          </w:tcPr>
          <w:p>
            <w:pPr/>
            <w:r>
              <w:rPr/>
              <w:t xml:space="preserve">Příprava podkladů a dokladů potřebných pro uskutečňování obchodů na kapitálových trzích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i13.D.6301</w:t>
            </w:r>
          </w:p>
        </w:tc>
        <w:tc>
          <w:tcPr>
            <w:tcW w:w="3000" w:type="dxa"/>
          </w:tcPr>
          <w:p>
            <w:pPr/>
            <w:r>
              <w:rPr/>
              <w:t xml:space="preserve">Zpracovávání komplexních analýz finančního trhu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i13.C.1431</w:t>
            </w:r>
          </w:p>
        </w:tc>
        <w:tc>
          <w:tcPr>
            <w:tcW w:w="3000" w:type="dxa"/>
          </w:tcPr>
          <w:p>
            <w:pPr/>
            <w:r>
              <w:rPr/>
              <w:t xml:space="preserve">Poskytování komplexní poradenské a konzultační služby pro klienty v oblasti kapitálových trhů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i13.C.2431</w:t>
            </w:r>
          </w:p>
        </w:tc>
        <w:tc>
          <w:tcPr>
            <w:tcW w:w="3000" w:type="dxa"/>
          </w:tcPr>
          <w:p>
            <w:pPr/>
            <w:r>
              <w:rPr/>
              <w:t xml:space="preserve">Projednávání nejsložitějších obchodů v oblasti cenných papírů s klienty i s ostatními účastníky tohoto obchodu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i13.C.2432</w:t>
            </w:r>
          </w:p>
        </w:tc>
        <w:tc>
          <w:tcPr>
            <w:tcW w:w="3000" w:type="dxa"/>
          </w:tcPr>
          <w:p>
            <w:pPr/>
            <w:r>
              <w:rPr/>
              <w:t xml:space="preserve">Zajišťování realizace nejsložitějších obchodů s cennými papíry dle požadavků klientů a v souladu s platnými předpisy</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i13._.0043</w:t>
            </w:r>
          </w:p>
        </w:tc>
        <w:tc>
          <w:tcPr>
            <w:tcW w:w="3000" w:type="dxa"/>
          </w:tcPr>
          <w:p>
            <w:pPr/>
            <w:r>
              <w:rPr/>
              <w:t xml:space="preserve">finanční trhy, makléřská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A3A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Investiční makléř</dc:title>
  <dc:description>Investiční makléř provádí pokyny na účet zákazníka nebo uskutečňuje obchody na vlastní účet týkající se investičních nástrojů nebo upisování nebo umisťování investičních nástrojů se závazkem nebo bez závazku jejich upsání. Koordinuje a zajišťuje nákup a prodej cenných papírů, akcií a obligací v zastoupení vlastní společnosti nebo zákazníků na základě jejich pověření.</dc:description>
  <dc:subject/>
  <cp:keywords/>
  <cp:category>Povolání</cp:category>
  <cp:lastModifiedBy/>
  <dcterms:created xsi:type="dcterms:W3CDTF">2017-11-22T09:32:32+01:00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