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devizových obchodů</w:t>
      </w:r>
      <w:bookmarkEnd w:id="1"/>
    </w:p>
    <w:p>
      <w:pPr/>
      <w:r>
        <w:rPr/>
        <w:t xml:space="preserve">Specialista devizových obchodů vypracovává metodiku zahraničně obchodních aktivit, zajišťuje projednávání a uzavírání složitých obchodních případů.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devizových obchodů</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a realizace metodiky devizových obchodů.</w:t>
      </w:r>
    </w:p>
    <w:p>
      <w:pPr>
        <w:numPr>
          <w:ilvl w:val="0"/>
          <w:numId w:val="5"/>
        </w:numPr>
      </w:pPr>
      <w:r>
        <w:rPr/>
        <w:t xml:space="preserve">Zavádění nových produktů a služeb.</w:t>
      </w:r>
    </w:p>
    <w:p>
      <w:pPr>
        <w:numPr>
          <w:ilvl w:val="0"/>
          <w:numId w:val="5"/>
        </w:numPr>
      </w:pPr>
      <w:r>
        <w:rPr/>
        <w:t xml:space="preserve">Projednávání složitých obchodních případů.</w:t>
      </w:r>
    </w:p>
    <w:p>
      <w:pPr>
        <w:numPr>
          <w:ilvl w:val="0"/>
          <w:numId w:val="5"/>
        </w:numPr>
      </w:pPr>
      <w:r>
        <w:rPr/>
        <w:t xml:space="preserve">Řízení správy devizových aktiv a pasiv.</w:t>
      </w:r>
    </w:p>
    <w:p>
      <w:pPr>
        <w:numPr>
          <w:ilvl w:val="0"/>
          <w:numId w:val="5"/>
        </w:numPr>
      </w:pPr>
      <w:r>
        <w:rPr/>
        <w:t xml:space="preserve">Analýza a kvantifikace finančních rizik konkrétních obchodů.</w:t>
      </w:r>
    </w:p>
    <w:p>
      <w:pPr>
        <w:numPr>
          <w:ilvl w:val="0"/>
          <w:numId w:val="5"/>
        </w:numPr>
      </w:pPr>
      <w:r>
        <w:rPr/>
        <w:t xml:space="preserve">Sledování angažovanosti devizových zdrojů banky v úvěrové oblasti.</w:t>
      </w:r>
    </w:p>
    <w:p>
      <w:pPr>
        <w:numPr>
          <w:ilvl w:val="0"/>
          <w:numId w:val="5"/>
        </w:numPr>
      </w:pPr>
      <w:r>
        <w:rPr/>
        <w:t xml:space="preserve">Zajišťování dodržování pravidel likvidity.</w:t>
      </w:r>
    </w:p>
    <w:p>
      <w:pPr>
        <w:numPr>
          <w:ilvl w:val="0"/>
          <w:numId w:val="5"/>
        </w:numPr>
      </w:pPr>
      <w:r>
        <w:rPr/>
        <w:t xml:space="preserve">Spolupráce při navrhování finanční politiky banky.</w:t>
      </w:r>
    </w:p>
    <w:p>
      <w:pPr>
        <w:numPr>
          <w:ilvl w:val="0"/>
          <w:numId w:val="5"/>
        </w:numPr>
      </w:pPr>
      <w:r>
        <w:rPr/>
        <w:t xml:space="preserve">Odborná a konzultační činnost.</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i11.D.2411</w:t>
            </w:r>
          </w:p>
        </w:tc>
        <w:tc>
          <w:tcPr>
            <w:tcW w:w="3000" w:type="dxa"/>
          </w:tcPr>
          <w:p>
            <w:pPr/>
            <w:r>
              <w:rPr/>
              <w:t xml:space="preserve">Tvorba metodiky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i11.D.2412</w:t>
            </w:r>
          </w:p>
        </w:tc>
        <w:tc>
          <w:tcPr>
            <w:tcW w:w="3000" w:type="dxa"/>
          </w:tcPr>
          <w:p>
            <w:pPr/>
            <w:r>
              <w:rPr/>
              <w:t xml:space="preserve">Zpracovávání koncepce řízení devizových aktiv a pasiv a řízení úrokových kurzů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i11.D.3412</w:t>
            </w:r>
          </w:p>
        </w:tc>
        <w:tc>
          <w:tcPr>
            <w:tcW w:w="3000" w:type="dxa"/>
          </w:tcPr>
          <w:p>
            <w:pPr/>
            <w:r>
              <w:rPr/>
              <w:t xml:space="preserve">Kontrola dodržování pravidel likvidity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i11.D.3413</w:t>
            </w:r>
          </w:p>
        </w:tc>
        <w:tc>
          <w:tcPr>
            <w:tcW w:w="3000" w:type="dxa"/>
          </w:tcPr>
          <w:p>
            <w:pPr/>
            <w:r>
              <w:rPr/>
              <w:t xml:space="preserve">Posuzování finančních rizik konkrétních obchodů včetně posuzování předložených obchodních smluv</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i11.D.7411</w:t>
            </w:r>
          </w:p>
        </w:tc>
        <w:tc>
          <w:tcPr>
            <w:tcW w:w="3000" w:type="dxa"/>
          </w:tcPr>
          <w:p>
            <w:pPr/>
            <w:r>
              <w:rPr/>
              <w:t xml:space="preserve">Vymýšlení nových typů bankovních obchodů včetně předkládání návrhů na zavedení těchto nových typů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i11.D.8411</w:t>
            </w:r>
          </w:p>
        </w:tc>
        <w:tc>
          <w:tcPr>
            <w:tcW w:w="3000" w:type="dxa"/>
          </w:tcPr>
          <w:p>
            <w:pPr/>
            <w:r>
              <w:rPr/>
              <w:t xml:space="preserve">Příprava podkladů a stanovisek pro jednání úvěrového výboru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i11.D.8413</w:t>
            </w:r>
          </w:p>
        </w:tc>
        <w:tc>
          <w:tcPr>
            <w:tcW w:w="3000" w:type="dxa"/>
          </w:tcPr>
          <w:p>
            <w:pPr/>
            <w:r>
              <w:rPr/>
              <w:t xml:space="preserve">Zpracovávání novelizace pracovních knih a dalších vnitřních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i11.C.2412</w:t>
            </w:r>
          </w:p>
        </w:tc>
        <w:tc>
          <w:tcPr>
            <w:tcW w:w="3000" w:type="dxa"/>
          </w:tcPr>
          <w:p>
            <w:pPr/>
            <w:r>
              <w:rPr/>
              <w:t xml:space="preserve">Projednávání složitých obchodních případů s ostatními účastníky tohoto obchodního případu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i11.C.2413</w:t>
            </w:r>
          </w:p>
        </w:tc>
        <w:tc>
          <w:tcPr>
            <w:tcW w:w="3000" w:type="dxa"/>
          </w:tcPr>
          <w:p>
            <w:pPr/>
            <w:r>
              <w:rPr/>
              <w:t xml:space="preserve">Realizace náročných obchodních případů s komplikovanými kontraktačními podmínkami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i11.C.2414</w:t>
            </w:r>
          </w:p>
        </w:tc>
        <w:tc>
          <w:tcPr>
            <w:tcW w:w="3000" w:type="dxa"/>
          </w:tcPr>
          <w:p>
            <w:pPr/>
            <w:r>
              <w:rPr/>
              <w:t xml:space="preserve">Zajišťování zavádění nových produktů a služeb v oblasti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i11.D.3411</w:t>
            </w:r>
          </w:p>
        </w:tc>
        <w:tc>
          <w:tcPr>
            <w:tcW w:w="3000" w:type="dxa"/>
          </w:tcPr>
          <w:p>
            <w:pPr/>
            <w:r>
              <w:rPr/>
              <w:t xml:space="preserve">Kontrola plnění smluvních povinností vyplývajících z uzavřených úvěrových smluv včetně kontroly návratnosti těchto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i11.D.8412</w:t>
            </w:r>
          </w:p>
        </w:tc>
        <w:tc>
          <w:tcPr>
            <w:tcW w:w="3000" w:type="dxa"/>
          </w:tcPr>
          <w:p>
            <w:pPr/>
            <w:r>
              <w:rPr/>
              <w:t xml:space="preserve">Vedení předepsané evidence a statistiky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i11.C.1411</w:t>
            </w:r>
          </w:p>
        </w:tc>
        <w:tc>
          <w:tcPr>
            <w:tcW w:w="3000" w:type="dxa"/>
          </w:tcPr>
          <w:p>
            <w:pPr/>
            <w:r>
              <w:rPr/>
              <w:t xml:space="preserve">Poskytování konzultací a poradenské činnosti v oblasti devizových obchodů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05EB7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devizových obchodů</dc:title>
  <dc:description>Specialista devizových obchodů vypracovává metodiku zahraničně obchodních aktivit, zajišťuje projednávání a uzavírání složitých obchodních případů.</dc:description>
  <dc:subject/>
  <cp:keywords/>
  <cp:category>Specializace</cp:category>
  <cp:lastModifiedBy/>
  <dcterms:created xsi:type="dcterms:W3CDTF">2017-11-22T09:31:57+01:00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