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stavebního řádu</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stavebního řádu.</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stavebního řádu.</w:t>
      </w:r>
    </w:p>
    <w:p>
      <w:pPr>
        <w:numPr>
          <w:ilvl w:val="0"/>
          <w:numId w:val="5"/>
        </w:numPr>
      </w:pPr>
      <w:r>
        <w:rPr/>
        <w:t xml:space="preserve">Koordinace a zabezpečování kontroly orgánů stavebního řádu.</w:t>
      </w:r>
    </w:p>
    <w:p>
      <w:pPr>
        <w:numPr>
          <w:ilvl w:val="0"/>
          <w:numId w:val="5"/>
        </w:numPr>
      </w:pPr>
      <w:r>
        <w:rPr/>
        <w:t xml:space="preserve">Výkon státního stavebního dohledu.</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i21._.0092</w:t>
            </w:r>
          </w:p>
        </w:tc>
        <w:tc>
          <w:tcPr>
            <w:tcW w:w="3000" w:type="dxa"/>
          </w:tcPr>
          <w:p>
            <w:pPr/>
            <w:r>
              <w:rPr/>
              <w:t xml:space="preserve">zásady kontroly činnosti úřadů na centrální,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F10C3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stavebního řádu</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2017-11-22T09:30:41+01:00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