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Chemický technik manažer provozu</w:t>
      </w:r>
      <w:bookmarkEnd w:id="1"/>
    </w:p>
    <w:p>
      <w:pPr/>
      <w:r>
        <w:rPr/>
        <w:t xml:space="preserve">Chemický technik manažer provozu dílčím způsobem řídí jednotku chemické výroby nebo její části.</w:t>
      </w:r>
    </w:p>
    <w:p/>
    <w:tbl>
      <w:tblGrid>
        <w:gridCol w:w="3000" w:type="dxa"/>
        <w:gridCol w:w="6000" w:type="dxa"/>
      </w:tblGrid>
      <w:tblPr>
        <w:jc w:val="start"/>
        <w:tblW w:w="0" w:type="auto"/>
        <w:tblCellSpacing w:w="50" w:type="dxa"/>
        <w:tblLayout w:type="autofit"/>
        <w:bidiVisual w:val="0"/>
        <w:tblCellMar>
          <w:top w:w="80" w:type="dxa"/>
          <w:left w:w="80" w:type="dxa"/>
          <w:right w:w="80" w:type="dxa"/>
          <w:bottom w:w="80" w:type="dxa"/>
        </w:tblCellMar>
      </w:tblPr>
      <w:tr>
        <w:trPr/>
        <w:tc>
          <w:tcPr>
            <w:tcW w:w="3000" w:type="dxa"/>
          </w:tcPr>
          <w:p>
            <w:pPr/>
            <w:r>
              <w:rPr>
                <w:b w:val="1"/>
                <w:bCs w:val="1"/>
              </w:rPr>
              <w:t xml:space="preserve">Odborný směr:</w:t>
            </w:r>
          </w:p>
        </w:tc>
        <w:tc>
          <w:tcPr>
            <w:tcW w:w="6000" w:type="dxa"/>
          </w:tcPr>
          <w:p>
            <w:pPr/>
            <w:r>
              <w:rPr/>
              <w:t xml:space="preserve">Chemie</w:t>
            </w:r>
          </w:p>
        </w:tc>
      </w:tr>
      <w:tr>
        <w:trPr/>
        <w:tc>
          <w:tcPr/>
          <w:p>
            <w:pPr/>
            <w:r>
              <w:rPr>
                <w:b w:val="1"/>
                <w:bCs w:val="1"/>
              </w:rPr>
              <w:t xml:space="preserve">Odborný podsměr:</w:t>
            </w:r>
          </w:p>
        </w:tc>
        <w:tc>
          <w:tcPr/>
          <w:p>
            <w:pPr/>
            <w:r>
              <w:rPr/>
              <w:t xml:space="preserve">výroba chemických produktů</w:t>
            </w:r>
          </w:p>
        </w:tc>
      </w:tr>
      <w:tr>
        <w:trPr/>
        <w:tc>
          <w:tcPr/>
          <w:p>
            <w:pPr/>
            <w:r>
              <w:rPr>
                <w:b w:val="1"/>
                <w:bCs w:val="1"/>
              </w:rPr>
              <w:t xml:space="preserve">Kvalifikační úroveň:</w:t>
            </w:r>
          </w:p>
        </w:tc>
        <w:tc>
          <w:tcPr/>
          <w:p>
            <w:pPr/>
            <w:r>
              <w:rPr/>
              <w:t xml:space="preserve">Střední vzdělání s maturitní zkouškou; Střední vzdělání s výučním listem i maturitní zkouškou</w:t>
            </w:r>
          </w:p>
        </w:tc>
      </w:tr>
      <w:tr>
        <w:trPr/>
        <w:tc>
          <w:tcPr/>
          <w:p>
            <w:pPr/>
            <w:r>
              <w:rPr>
                <w:b w:val="1"/>
                <w:bCs w:val="1"/>
              </w:rPr>
              <w:t xml:space="preserve">Nadřízené povolání:</w:t>
            </w:r>
          </w:p>
        </w:tc>
        <w:tc>
          <w:tcPr/>
          <w:p>
            <w:pPr/>
            <w:r>
              <w:rPr/>
              <w:t xml:space="preserve">Chemický technik</w:t>
            </w:r>
          </w:p>
        </w:tc>
      </w:tr>
      <w:tr>
        <w:trPr/>
        <w:tc>
          <w:tcPr/>
          <w:p>
            <w:pPr/>
            <w:r>
              <w:rPr>
                <w:b w:val="1"/>
                <w:bCs w:val="1"/>
              </w:rPr>
              <w:t xml:space="preserve">Příbuzné specializace:</w:t>
            </w:r>
          </w:p>
        </w:tc>
        <w:tc>
          <w:tcPr/>
          <w:p>
            <w:pPr/>
            <w:r>
              <w:rPr/>
              <w:t xml:space="preserve">Chemický technik pro environment, Chemický technik mistr, Chemický technik environmentální geochemik, Chemický technik operátor, Chemický technik produktmanažer, Chemický technik analytik, Chemický technik pro povrchové úpravy materiálů, Chemický technik manažer provozu, Chemický technik pro kompozitní materiály, Chemický technik BOZP, Chemický technik plánovač, Chemický technik technolog, Chemický technik pro povrchové úpravy materiálů</w:t>
            </w:r>
          </w:p>
        </w:tc>
      </w:tr>
      <w:tr>
        <w:trPr/>
        <w:tc>
          <w:tcPr/>
          <w:p>
            <w:pPr/>
            <w:r>
              <w:rPr>
                <w:b w:val="1"/>
                <w:bCs w:val="1"/>
              </w:rPr>
              <w:t xml:space="preserve">Regulovaná jednotka práce:</w:t>
            </w:r>
          </w:p>
        </w:tc>
        <w:tc>
          <w:tcPr/>
          <w:p>
            <w:pPr/>
            <w:r>
              <w:rPr/>
              <w:t xml:space="preserve">ne</w:t>
            </w:r>
          </w:p>
        </w:tc>
      </w:tr>
    </w:tbl>
    <w:p/>
    <w:p>
      <w:pPr>
        <w:pStyle w:val="Heading2"/>
      </w:pPr>
      <w:bookmarkStart w:id="2" w:name="_Toc2"/>
      <w:r>
        <w:t>Pracovní činnosti</w:t>
      </w:r>
      <w:bookmarkEnd w:id="2"/>
    </w:p>
    <w:p>
      <w:pPr>
        <w:numPr>
          <w:ilvl w:val="0"/>
          <w:numId w:val="5"/>
        </w:numPr>
      </w:pPr>
      <w:r>
        <w:rPr/>
        <w:t xml:space="preserve">Dílčí plánování rozvoje a koncepce provozu.</w:t>
      </w:r>
    </w:p>
    <w:p>
      <w:pPr>
        <w:numPr>
          <w:ilvl w:val="0"/>
          <w:numId w:val="5"/>
        </w:numPr>
      </w:pPr>
      <w:r>
        <w:rPr/>
        <w:t xml:space="preserve">Rozpracování cílů firmy do cílů a úkolů provozu, výrobních týmů.</w:t>
      </w:r>
    </w:p>
    <w:p>
      <w:pPr>
        <w:numPr>
          <w:ilvl w:val="0"/>
          <w:numId w:val="5"/>
        </w:numPr>
      </w:pPr>
      <w:r>
        <w:rPr/>
        <w:t xml:space="preserve">Podíl na vedení a řízení týmové práce.</w:t>
      </w:r>
    </w:p>
    <w:p>
      <w:pPr>
        <w:numPr>
          <w:ilvl w:val="0"/>
          <w:numId w:val="5"/>
        </w:numPr>
      </w:pPr>
      <w:r>
        <w:rPr/>
        <w:t xml:space="preserve">Zajištění technického provozu úseku chemické výroby.</w:t>
      </w:r>
    </w:p>
    <w:p>
      <w:pPr>
        <w:numPr>
          <w:ilvl w:val="0"/>
          <w:numId w:val="5"/>
        </w:numPr>
      </w:pPr>
      <w:r>
        <w:rPr/>
        <w:t xml:space="preserve">Spouštění provozu složitých souborů technických a technologických zařízení chemické výroby nebo jejich částí.</w:t>
      </w:r>
    </w:p>
    <w:p>
      <w:pPr>
        <w:numPr>
          <w:ilvl w:val="0"/>
          <w:numId w:val="5"/>
        </w:numPr>
      </w:pPr>
      <w:r>
        <w:rPr/>
        <w:t xml:space="preserve">Zajištění efektivní spolupráce s odbornými útvary a ostatními provozy.</w:t>
      </w:r>
    </w:p>
    <w:p>
      <w:pPr>
        <w:numPr>
          <w:ilvl w:val="0"/>
          <w:numId w:val="5"/>
        </w:numPr>
      </w:pPr>
      <w:r>
        <w:rPr/>
        <w:t xml:space="preserve">Zajištění dodržování standardních postupů práce, technologické kázně a jejich další zlepšování.</w:t>
      </w:r>
    </w:p>
    <w:p>
      <w:pPr>
        <w:numPr>
          <w:ilvl w:val="0"/>
          <w:numId w:val="5"/>
        </w:numPr>
      </w:pPr>
      <w:r>
        <w:rPr/>
        <w:t xml:space="preserve">Definování podmínek pro rozvoj týmové práce na svěřeném úseku.</w:t>
      </w:r>
    </w:p>
    <w:p>
      <w:pPr>
        <w:numPr>
          <w:ilvl w:val="0"/>
          <w:numId w:val="5"/>
        </w:numPr>
      </w:pPr>
      <w:r>
        <w:rPr/>
        <w:t xml:space="preserve">Koordinace zvyšování efektivity využíváním všech zdrojů (lidí, materiálu a technologického zařízení).</w:t>
      </w:r>
    </w:p>
    <w:p>
      <w:pPr>
        <w:numPr>
          <w:ilvl w:val="0"/>
          <w:numId w:val="5"/>
        </w:numPr>
      </w:pPr>
      <w:r>
        <w:rPr/>
        <w:t xml:space="preserve">Vytváření podmínek pro odborný růst členů svého pracovního týmu.</w:t>
      </w:r>
    </w:p>
    <w:p>
      <w:pPr>
        <w:numPr>
          <w:ilvl w:val="0"/>
          <w:numId w:val="5"/>
        </w:numPr>
      </w:pPr>
      <w:r>
        <w:rPr/>
        <w:t xml:space="preserve">Zabezpečování bezproblémového průběhu externích a interních auditů.</w:t>
      </w:r>
    </w:p>
    <w:p/>
    <w:p>
      <w:pPr>
        <w:pStyle w:val="Heading2"/>
      </w:pPr>
      <w:bookmarkStart w:id="3" w:name="_Toc3"/>
      <w:r>
        <w:t>CZ-ISCO</w:t>
      </w:r>
      <w:bookmarkEnd w:id="3"/>
    </w:p>
    <w:p>
      <w:pPr>
        <w:numPr>
          <w:ilvl w:val="0"/>
          <w:numId w:val="5"/>
        </w:numPr>
      </w:pPr>
      <w:r>
        <w:rPr/>
        <w:t xml:space="preserve">Mistři a příbuzní pracovníci v chemii, farmacii a potravinářství</w:t>
      </w:r>
    </w:p>
    <w:p>
      <w:pPr>
        <w:numPr>
          <w:ilvl w:val="0"/>
          <w:numId w:val="5"/>
        </w:numPr>
      </w:pPr>
      <w:r>
        <w:rPr/>
        <w:t xml:space="preserve">Mistři a příbuzní pracovníci ve výrobě (kromě hutní výroby a slévárenství)</w:t>
      </w:r>
    </w:p>
    <w:p/>
    <w:p>
      <w:pPr>
        <w:pStyle w:val="Heading3"/>
      </w:pPr>
      <w:bookmarkStart w:id="4" w:name="_Toc4"/>
      <w:r>
        <w:t>Hrubé měsíční mzdy podle krajů v roce 2025</w:t>
      </w:r>
      <w:bookmarkEnd w:id="4"/>
    </w:p>
    <w:p>
      <w:pPr>
        <w:pStyle w:val="Heading4"/>
      </w:pPr>
      <w:bookmarkStart w:id="5" w:name="_Toc5"/>
      <w:r>
        <w:t>Mistři a příbuzní pracovníci ve výrobě (kromě hutní výroby a slévárenství) (CZ-ISCO 3122)</w:t>
      </w:r>
      <w:bookmarkEnd w:id="5"/>
    </w:p>
    <w:tbl>
      <w:tblGrid>
        <w:gridCol w:w="2400" w:type="dxa"/>
        <w:gridCol w:w="1100" w:type="dxa"/>
        <w:gridCol w:w="1100" w:type="dxa"/>
        <w:gridCol w:w="1100" w:type="dxa"/>
        <w:gridCol w:w="1100" w:type="dxa"/>
        <w:gridCol w:w="1100" w:type="dxa"/>
        <w:gridCol w:w="1100" w:type="dxa"/>
      </w:tblGrid>
      <w:tblPr>
        <w:jc w:val="start"/>
        <w:tblW w:w="0" w:type="auto"/>
        <w:tblCellSpacing w:w="50" w:type="dxa"/>
        <w:tblLayout w:type="autofit"/>
        <w:bidiVisual w:val="0"/>
        <w:tblCellMar>
          <w:top w:w="80" w:type="dxa"/>
          <w:left w:w="80" w:type="dxa"/>
          <w:right w:w="80" w:type="dxa"/>
          <w:bottom w:w="80" w:type="dxa"/>
        </w:tblCellMar>
      </w:tblPr>
      <w:tr>
        <w:trPr/>
        <w:tc>
          <w:tcPr>
            <w:tcW w:w="2400" w:type="dxa"/>
          </w:tcPr>
          <w:p/>
        </w:tc>
        <w:tc>
          <w:tcPr>
            <w:tcW w:w="3300" w:type="dxa"/>
            <w:gridSpan w:val="3"/>
          </w:tcPr>
          <w:p>
            <w:pPr>
              <w:jc w:val="center"/>
            </w:pPr>
            <w:r>
              <w:rPr>
                <w:b w:val="1"/>
                <w:bCs w:val="1"/>
              </w:rPr>
              <w:t xml:space="preserve">Mzdová sféra</w:t>
            </w:r>
          </w:p>
        </w:tc>
        <w:tc>
          <w:tcPr>
            <w:tcW w:w="3300" w:type="dxa"/>
            <w:gridSpan w:val="3"/>
          </w:tcPr>
          <w:p>
            <w:pPr>
              <w:jc w:val="center"/>
            </w:pPr>
            <w:r>
              <w:rPr>
                <w:b w:val="1"/>
                <w:bCs w:val="1"/>
              </w:rPr>
              <w:t xml:space="preserve">Platová sféra</w:t>
            </w:r>
          </w:p>
        </w:tc>
      </w:tr>
      <w:tr>
        <w:trPr/>
        <w:tc>
          <w:tcPr>
            <w:tcW w:w="2400" w:type="dxa"/>
          </w:tcPr>
          <w:p>
            <w:pPr/>
            <w:r>
              <w:rPr>
                <w:b w:val="1"/>
                <w:bCs w:val="1"/>
              </w:rPr>
              <w:t xml:space="preserve">Kraj</w:t>
            </w:r>
          </w:p>
        </w:tc>
        <w:tc>
          <w:tcPr>
            <w:tcW w:w="1100" w:type="dxa"/>
          </w:tcPr>
          <w:p>
            <w:pPr>
              <w:jc w:val="center"/>
            </w:pPr>
            <w:r>
              <w:rPr>
                <w:b w:val="1"/>
                <w:bCs w:val="1"/>
              </w:rPr>
              <w:t xml:space="preserve">Od</w:t>
            </w:r>
          </w:p>
        </w:tc>
        <w:tc>
          <w:tcPr>
            <w:tcW w:w="1100" w:type="dxa"/>
          </w:tcPr>
          <w:p>
            <w:pPr>
              <w:jc w:val="center"/>
            </w:pPr>
            <w:r>
              <w:rPr>
                <w:b w:val="1"/>
                <w:bCs w:val="1"/>
              </w:rPr>
              <w:t xml:space="preserve">Medián</w:t>
            </w:r>
          </w:p>
        </w:tc>
        <w:tc>
          <w:tcPr>
            <w:tcW w:w="1100" w:type="dxa"/>
          </w:tcPr>
          <w:p>
            <w:pPr>
              <w:jc w:val="center"/>
            </w:pPr>
            <w:r>
              <w:rPr>
                <w:b w:val="1"/>
                <w:bCs w:val="1"/>
              </w:rPr>
              <w:t xml:space="preserve">Do</w:t>
            </w:r>
          </w:p>
        </w:tc>
        <w:tc>
          <w:tcPr>
            <w:tcW w:w="1100" w:type="dxa"/>
          </w:tcPr>
          <w:p>
            <w:pPr>
              <w:jc w:val="center"/>
            </w:pPr>
            <w:r>
              <w:rPr>
                <w:b w:val="1"/>
                <w:bCs w:val="1"/>
              </w:rPr>
              <w:t xml:space="preserve">Od</w:t>
            </w:r>
          </w:p>
        </w:tc>
        <w:tc>
          <w:tcPr>
            <w:tcW w:w="1100" w:type="dxa"/>
          </w:tcPr>
          <w:p>
            <w:pPr>
              <w:jc w:val="center"/>
            </w:pPr>
            <w:r>
              <w:rPr>
                <w:b w:val="1"/>
                <w:bCs w:val="1"/>
              </w:rPr>
              <w:t xml:space="preserve">Medián</w:t>
            </w:r>
          </w:p>
        </w:tc>
        <w:tc>
          <w:tcPr>
            <w:tcW w:w="1100" w:type="dxa"/>
          </w:tcPr>
          <w:p>
            <w:pPr>
              <w:jc w:val="center"/>
            </w:pPr>
            <w:r>
              <w:rPr>
                <w:b w:val="1"/>
                <w:bCs w:val="1"/>
              </w:rPr>
              <w:t xml:space="preserve">Do</w:t>
            </w:r>
          </w:p>
        </w:tc>
      </w:tr>
      <w:tr>
        <w:trPr/>
        <w:tc>
          <w:tcPr>
            <w:tcW w:w="2000" w:type="dxa"/>
          </w:tcPr>
          <w:p>
            <w:pPr/>
            <w:r>
              <w:rPr/>
              <w:t xml:space="preserve">Hlavní město Praha</w:t>
            </w:r>
          </w:p>
        </w:tc>
        <w:tc>
          <w:tcPr>
            <w:tcW w:w="1000" w:type="dxa"/>
          </w:tcPr>
          <w:p>
            <w:pPr>
              <w:jc w:val="center"/>
            </w:pPr>
            <w:r>
              <w:rPr/>
              <w:t xml:space="preserve">27 997 Kč</w:t>
            </w:r>
          </w:p>
        </w:tc>
        <w:tc>
          <w:tcPr>
            <w:tcW w:w="1000" w:type="dxa"/>
          </w:tcPr>
          <w:p>
            <w:pPr>
              <w:jc w:val="center"/>
            </w:pPr>
            <w:r>
              <w:rPr/>
              <w:t xml:space="preserve">59 883 Kč</w:t>
            </w:r>
          </w:p>
        </w:tc>
        <w:tc>
          <w:tcPr>
            <w:tcW w:w="1000" w:type="dxa"/>
          </w:tcPr>
          <w:p>
            <w:pPr>
              <w:jc w:val="center"/>
            </w:pPr>
            <w:r>
              <w:rPr/>
              <w:t xml:space="preserve">98 243 Kč</w:t>
            </w:r>
          </w:p>
        </w:tc>
        <w:tc>
          <w:tcPr>
            <w:tcW w:w="1000" w:type="dxa"/>
          </w:tcPr>
          <w:p/>
        </w:tc>
        <w:tc>
          <w:tcPr>
            <w:tcW w:w="1000" w:type="dxa"/>
          </w:tcPr>
          <w:p/>
        </w:tc>
        <w:tc>
          <w:tcPr>
            <w:tcW w:w="1000" w:type="dxa"/>
          </w:tcPr>
          <w:p/>
        </w:tc>
      </w:tr>
      <w:tr>
        <w:trPr/>
        <w:tc>
          <w:tcPr>
            <w:tcW w:w="2000" w:type="dxa"/>
          </w:tcPr>
          <w:p>
            <w:pPr/>
            <w:r>
              <w:rPr/>
              <w:t xml:space="preserve">Středočeský kraj</w:t>
            </w:r>
          </w:p>
        </w:tc>
        <w:tc>
          <w:tcPr>
            <w:tcW w:w="1000" w:type="dxa"/>
          </w:tcPr>
          <w:p>
            <w:pPr>
              <w:jc w:val="center"/>
            </w:pPr>
            <w:r>
              <w:rPr/>
              <w:t xml:space="preserve">40 115 Kč</w:t>
            </w:r>
          </w:p>
        </w:tc>
        <w:tc>
          <w:tcPr>
            <w:tcW w:w="1000" w:type="dxa"/>
          </w:tcPr>
          <w:p>
            <w:pPr>
              <w:jc w:val="center"/>
            </w:pPr>
            <w:r>
              <w:rPr/>
              <w:t xml:space="preserve">61 136 Kč</w:t>
            </w:r>
          </w:p>
        </w:tc>
        <w:tc>
          <w:tcPr>
            <w:tcW w:w="1000" w:type="dxa"/>
          </w:tcPr>
          <w:p>
            <w:pPr>
              <w:jc w:val="center"/>
            </w:pPr>
            <w:r>
              <w:rPr>
                <w:sz w:val="16"/>
                <w:szCs w:val="16"/>
              </w:rPr>
              <w:t xml:space="preserve">103 066 Kč</w:t>
            </w:r>
          </w:p>
        </w:tc>
        <w:tc>
          <w:tcPr>
            <w:tcW w:w="1000" w:type="dxa"/>
          </w:tcPr>
          <w:p/>
        </w:tc>
        <w:tc>
          <w:tcPr>
            <w:tcW w:w="1000" w:type="dxa"/>
          </w:tcPr>
          <w:p/>
        </w:tc>
        <w:tc>
          <w:tcPr>
            <w:tcW w:w="1000" w:type="dxa"/>
          </w:tcPr>
          <w:p/>
        </w:tc>
      </w:tr>
      <w:tr>
        <w:trPr/>
        <w:tc>
          <w:tcPr>
            <w:tcW w:w="2000" w:type="dxa"/>
          </w:tcPr>
          <w:p>
            <w:pPr/>
            <w:r>
              <w:rPr/>
              <w:t xml:space="preserve">Jihočeský kraj</w:t>
            </w:r>
          </w:p>
        </w:tc>
        <w:tc>
          <w:tcPr>
            <w:tcW w:w="1000" w:type="dxa"/>
          </w:tcPr>
          <w:p>
            <w:pPr>
              <w:jc w:val="center"/>
            </w:pPr>
            <w:r>
              <w:rPr/>
              <w:t xml:space="preserve">33 684 Kč</w:t>
            </w:r>
          </w:p>
        </w:tc>
        <w:tc>
          <w:tcPr>
            <w:tcW w:w="1000" w:type="dxa"/>
          </w:tcPr>
          <w:p>
            <w:pPr>
              <w:jc w:val="center"/>
            </w:pPr>
            <w:r>
              <w:rPr/>
              <w:t xml:space="preserve">56 062 Kč</w:t>
            </w:r>
          </w:p>
        </w:tc>
        <w:tc>
          <w:tcPr>
            <w:tcW w:w="1000" w:type="dxa"/>
          </w:tcPr>
          <w:p>
            <w:pPr>
              <w:jc w:val="center"/>
            </w:pPr>
            <w:r>
              <w:rPr/>
              <w:t xml:space="preserve">81 212 Kč</w:t>
            </w:r>
          </w:p>
        </w:tc>
        <w:tc>
          <w:tcPr>
            <w:tcW w:w="1000" w:type="dxa"/>
          </w:tcPr>
          <w:p/>
        </w:tc>
        <w:tc>
          <w:tcPr>
            <w:tcW w:w="1000" w:type="dxa"/>
          </w:tcPr>
          <w:p/>
        </w:tc>
        <w:tc>
          <w:tcPr>
            <w:tcW w:w="1000" w:type="dxa"/>
          </w:tcPr>
          <w:p/>
        </w:tc>
      </w:tr>
      <w:tr>
        <w:trPr/>
        <w:tc>
          <w:tcPr>
            <w:tcW w:w="2000" w:type="dxa"/>
          </w:tcPr>
          <w:p>
            <w:pPr/>
            <w:r>
              <w:rPr/>
              <w:t xml:space="preserve">Plzeňský kraj</w:t>
            </w:r>
          </w:p>
        </w:tc>
        <w:tc>
          <w:tcPr>
            <w:tcW w:w="1000" w:type="dxa"/>
          </w:tcPr>
          <w:p>
            <w:pPr>
              <w:jc w:val="center"/>
            </w:pPr>
            <w:r>
              <w:rPr/>
              <w:t xml:space="preserve">42 461 Kč</w:t>
            </w:r>
          </w:p>
        </w:tc>
        <w:tc>
          <w:tcPr>
            <w:tcW w:w="1000" w:type="dxa"/>
          </w:tcPr>
          <w:p>
            <w:pPr>
              <w:jc w:val="center"/>
            </w:pPr>
            <w:r>
              <w:rPr/>
              <w:t xml:space="preserve">60 346 Kč</w:t>
            </w:r>
          </w:p>
        </w:tc>
        <w:tc>
          <w:tcPr>
            <w:tcW w:w="1000" w:type="dxa"/>
          </w:tcPr>
          <w:p>
            <w:pPr>
              <w:jc w:val="center"/>
            </w:pPr>
            <w:r>
              <w:rPr/>
              <w:t xml:space="preserve">86 569 Kč</w:t>
            </w:r>
          </w:p>
        </w:tc>
        <w:tc>
          <w:tcPr>
            <w:tcW w:w="1000" w:type="dxa"/>
          </w:tcPr>
          <w:p/>
        </w:tc>
        <w:tc>
          <w:tcPr>
            <w:tcW w:w="1000" w:type="dxa"/>
          </w:tcPr>
          <w:p/>
        </w:tc>
        <w:tc>
          <w:tcPr>
            <w:tcW w:w="1000" w:type="dxa"/>
          </w:tcPr>
          <w:p/>
        </w:tc>
      </w:tr>
      <w:tr>
        <w:trPr/>
        <w:tc>
          <w:tcPr>
            <w:tcW w:w="2000" w:type="dxa"/>
          </w:tcPr>
          <w:p>
            <w:pPr/>
            <w:r>
              <w:rPr/>
              <w:t xml:space="preserve">Karlovarský kraj</w:t>
            </w:r>
          </w:p>
        </w:tc>
        <w:tc>
          <w:tcPr>
            <w:tcW w:w="1000" w:type="dxa"/>
          </w:tcPr>
          <w:p>
            <w:pPr>
              <w:jc w:val="center"/>
            </w:pPr>
            <w:r>
              <w:rPr/>
              <w:t xml:space="preserve">36 233 Kč</w:t>
            </w:r>
          </w:p>
        </w:tc>
        <w:tc>
          <w:tcPr>
            <w:tcW w:w="1000" w:type="dxa"/>
          </w:tcPr>
          <w:p>
            <w:pPr>
              <w:jc w:val="center"/>
            </w:pPr>
            <w:r>
              <w:rPr/>
              <w:t xml:space="preserve">58 005 Kč</w:t>
            </w:r>
          </w:p>
        </w:tc>
        <w:tc>
          <w:tcPr>
            <w:tcW w:w="1000" w:type="dxa"/>
          </w:tcPr>
          <w:p>
            <w:pPr>
              <w:jc w:val="center"/>
            </w:pPr>
            <w:r>
              <w:rPr/>
              <w:t xml:space="preserve">81 803 Kč</w:t>
            </w:r>
          </w:p>
        </w:tc>
        <w:tc>
          <w:tcPr>
            <w:tcW w:w="1000" w:type="dxa"/>
          </w:tcPr>
          <w:p/>
        </w:tc>
        <w:tc>
          <w:tcPr>
            <w:tcW w:w="1000" w:type="dxa"/>
          </w:tcPr>
          <w:p/>
        </w:tc>
        <w:tc>
          <w:tcPr>
            <w:tcW w:w="1000" w:type="dxa"/>
          </w:tcPr>
          <w:p/>
        </w:tc>
      </w:tr>
      <w:tr>
        <w:trPr/>
        <w:tc>
          <w:tcPr>
            <w:tcW w:w="2000" w:type="dxa"/>
          </w:tcPr>
          <w:p>
            <w:pPr/>
            <w:r>
              <w:rPr/>
              <w:t xml:space="preserve">Ústecký kraj</w:t>
            </w:r>
          </w:p>
        </w:tc>
        <w:tc>
          <w:tcPr>
            <w:tcW w:w="1000" w:type="dxa"/>
          </w:tcPr>
          <w:p>
            <w:pPr>
              <w:jc w:val="center"/>
            </w:pPr>
            <w:r>
              <w:rPr/>
              <w:t xml:space="preserve">33 149 Kč</w:t>
            </w:r>
          </w:p>
        </w:tc>
        <w:tc>
          <w:tcPr>
            <w:tcW w:w="1000" w:type="dxa"/>
          </w:tcPr>
          <w:p>
            <w:pPr>
              <w:jc w:val="center"/>
            </w:pPr>
            <w:r>
              <w:rPr/>
              <w:t xml:space="preserve">56 756 Kč</w:t>
            </w:r>
          </w:p>
        </w:tc>
        <w:tc>
          <w:tcPr>
            <w:tcW w:w="1000" w:type="dxa"/>
          </w:tcPr>
          <w:p>
            <w:pPr>
              <w:jc w:val="center"/>
            </w:pPr>
            <w:r>
              <w:rPr/>
              <w:t xml:space="preserve">85 575 Kč</w:t>
            </w:r>
          </w:p>
        </w:tc>
        <w:tc>
          <w:tcPr>
            <w:tcW w:w="1000" w:type="dxa"/>
          </w:tcPr>
          <w:p/>
        </w:tc>
        <w:tc>
          <w:tcPr>
            <w:tcW w:w="1000" w:type="dxa"/>
          </w:tcPr>
          <w:p/>
        </w:tc>
        <w:tc>
          <w:tcPr>
            <w:tcW w:w="1000" w:type="dxa"/>
          </w:tcPr>
          <w:p/>
        </w:tc>
      </w:tr>
      <w:tr>
        <w:trPr/>
        <w:tc>
          <w:tcPr>
            <w:tcW w:w="2000" w:type="dxa"/>
          </w:tcPr>
          <w:p>
            <w:pPr/>
            <w:r>
              <w:rPr/>
              <w:t xml:space="preserve">Liberecký kraj</w:t>
            </w:r>
          </w:p>
        </w:tc>
        <w:tc>
          <w:tcPr>
            <w:tcW w:w="1000" w:type="dxa"/>
          </w:tcPr>
          <w:p>
            <w:pPr>
              <w:jc w:val="center"/>
            </w:pPr>
            <w:r>
              <w:rPr/>
              <w:t xml:space="preserve">33 334 Kč</w:t>
            </w:r>
          </w:p>
        </w:tc>
        <w:tc>
          <w:tcPr>
            <w:tcW w:w="1000" w:type="dxa"/>
          </w:tcPr>
          <w:p>
            <w:pPr>
              <w:jc w:val="center"/>
            </w:pPr>
            <w:r>
              <w:rPr/>
              <w:t xml:space="preserve">54 849 Kč</w:t>
            </w:r>
          </w:p>
        </w:tc>
        <w:tc>
          <w:tcPr>
            <w:tcW w:w="1000" w:type="dxa"/>
          </w:tcPr>
          <w:p>
            <w:pPr>
              <w:jc w:val="center"/>
            </w:pPr>
            <w:r>
              <w:rPr/>
              <w:t xml:space="preserve">83 749 Kč</w:t>
            </w:r>
          </w:p>
        </w:tc>
        <w:tc>
          <w:tcPr>
            <w:tcW w:w="1000" w:type="dxa"/>
          </w:tcPr>
          <w:p/>
        </w:tc>
        <w:tc>
          <w:tcPr>
            <w:tcW w:w="1000" w:type="dxa"/>
          </w:tcPr>
          <w:p/>
        </w:tc>
        <w:tc>
          <w:tcPr>
            <w:tcW w:w="1000" w:type="dxa"/>
          </w:tcPr>
          <w:p/>
        </w:tc>
      </w:tr>
      <w:tr>
        <w:trPr/>
        <w:tc>
          <w:tcPr>
            <w:tcW w:w="2000" w:type="dxa"/>
          </w:tcPr>
          <w:p>
            <w:pPr/>
            <w:r>
              <w:rPr/>
              <w:t xml:space="preserve">Královéhradecký kraj</w:t>
            </w:r>
          </w:p>
        </w:tc>
        <w:tc>
          <w:tcPr>
            <w:tcW w:w="1000" w:type="dxa"/>
          </w:tcPr>
          <w:p>
            <w:pPr>
              <w:jc w:val="center"/>
            </w:pPr>
            <w:r>
              <w:rPr/>
              <w:t xml:space="preserve">36 535 Kč</w:t>
            </w:r>
          </w:p>
        </w:tc>
        <w:tc>
          <w:tcPr>
            <w:tcW w:w="1000" w:type="dxa"/>
          </w:tcPr>
          <w:p>
            <w:pPr>
              <w:jc w:val="center"/>
            </w:pPr>
            <w:r>
              <w:rPr/>
              <w:t xml:space="preserve">54 981 Kč</w:t>
            </w:r>
          </w:p>
        </w:tc>
        <w:tc>
          <w:tcPr>
            <w:tcW w:w="1000" w:type="dxa"/>
          </w:tcPr>
          <w:p>
            <w:pPr>
              <w:jc w:val="center"/>
            </w:pPr>
            <w:r>
              <w:rPr/>
              <w:t xml:space="preserve">89 317 Kč</w:t>
            </w:r>
          </w:p>
        </w:tc>
        <w:tc>
          <w:tcPr>
            <w:tcW w:w="1000" w:type="dxa"/>
          </w:tcPr>
          <w:p/>
        </w:tc>
        <w:tc>
          <w:tcPr>
            <w:tcW w:w="1000" w:type="dxa"/>
          </w:tcPr>
          <w:p/>
        </w:tc>
        <w:tc>
          <w:tcPr>
            <w:tcW w:w="1000" w:type="dxa"/>
          </w:tcPr>
          <w:p/>
        </w:tc>
      </w:tr>
      <w:tr>
        <w:trPr/>
        <w:tc>
          <w:tcPr>
            <w:tcW w:w="2000" w:type="dxa"/>
          </w:tcPr>
          <w:p>
            <w:pPr/>
            <w:r>
              <w:rPr/>
              <w:t xml:space="preserve">Pardubický kraj</w:t>
            </w:r>
          </w:p>
        </w:tc>
        <w:tc>
          <w:tcPr>
            <w:tcW w:w="1000" w:type="dxa"/>
          </w:tcPr>
          <w:p>
            <w:pPr>
              <w:jc w:val="center"/>
            </w:pPr>
            <w:r>
              <w:rPr/>
              <w:t xml:space="preserve">34 562 Kč</w:t>
            </w:r>
          </w:p>
        </w:tc>
        <w:tc>
          <w:tcPr>
            <w:tcW w:w="1000" w:type="dxa"/>
          </w:tcPr>
          <w:p>
            <w:pPr>
              <w:jc w:val="center"/>
            </w:pPr>
            <w:r>
              <w:rPr/>
              <w:t xml:space="preserve">54 876 Kč</w:t>
            </w:r>
          </w:p>
        </w:tc>
        <w:tc>
          <w:tcPr>
            <w:tcW w:w="1000" w:type="dxa"/>
          </w:tcPr>
          <w:p>
            <w:pPr>
              <w:jc w:val="center"/>
            </w:pPr>
            <w:r>
              <w:rPr/>
              <w:t xml:space="preserve">79 428 Kč</w:t>
            </w:r>
          </w:p>
        </w:tc>
        <w:tc>
          <w:tcPr>
            <w:tcW w:w="1000" w:type="dxa"/>
          </w:tcPr>
          <w:p/>
        </w:tc>
        <w:tc>
          <w:tcPr>
            <w:tcW w:w="1000" w:type="dxa"/>
          </w:tcPr>
          <w:p/>
        </w:tc>
        <w:tc>
          <w:tcPr>
            <w:tcW w:w="1000" w:type="dxa"/>
          </w:tcPr>
          <w:p/>
        </w:tc>
      </w:tr>
      <w:tr>
        <w:trPr/>
        <w:tc>
          <w:tcPr>
            <w:tcW w:w="2000" w:type="dxa"/>
          </w:tcPr>
          <w:p>
            <w:pPr/>
            <w:r>
              <w:rPr/>
              <w:t xml:space="preserve">Kraj Vysočina</w:t>
            </w:r>
          </w:p>
        </w:tc>
        <w:tc>
          <w:tcPr>
            <w:tcW w:w="1000" w:type="dxa"/>
          </w:tcPr>
          <w:p>
            <w:pPr>
              <w:jc w:val="center"/>
            </w:pPr>
            <w:r>
              <w:rPr/>
              <w:t xml:space="preserve">32 570 Kč</w:t>
            </w:r>
          </w:p>
        </w:tc>
        <w:tc>
          <w:tcPr>
            <w:tcW w:w="1000" w:type="dxa"/>
          </w:tcPr>
          <w:p>
            <w:pPr>
              <w:jc w:val="center"/>
            </w:pPr>
            <w:r>
              <w:rPr/>
              <w:t xml:space="preserve">52 927 Kč</w:t>
            </w:r>
          </w:p>
        </w:tc>
        <w:tc>
          <w:tcPr>
            <w:tcW w:w="1000" w:type="dxa"/>
          </w:tcPr>
          <w:p>
            <w:pPr>
              <w:jc w:val="center"/>
            </w:pPr>
            <w:r>
              <w:rPr/>
              <w:t xml:space="preserve">80 653 Kč</w:t>
            </w:r>
          </w:p>
        </w:tc>
        <w:tc>
          <w:tcPr>
            <w:tcW w:w="1000" w:type="dxa"/>
          </w:tcPr>
          <w:p/>
        </w:tc>
        <w:tc>
          <w:tcPr>
            <w:tcW w:w="1000" w:type="dxa"/>
          </w:tcPr>
          <w:p/>
        </w:tc>
        <w:tc>
          <w:tcPr>
            <w:tcW w:w="1000" w:type="dxa"/>
          </w:tcPr>
          <w:p/>
        </w:tc>
      </w:tr>
      <w:tr>
        <w:trPr/>
        <w:tc>
          <w:tcPr>
            <w:tcW w:w="2000" w:type="dxa"/>
          </w:tcPr>
          <w:p>
            <w:pPr/>
            <w:r>
              <w:rPr/>
              <w:t xml:space="preserve">Jihomoravský kraj</w:t>
            </w:r>
          </w:p>
        </w:tc>
        <w:tc>
          <w:tcPr>
            <w:tcW w:w="1000" w:type="dxa"/>
          </w:tcPr>
          <w:p>
            <w:pPr>
              <w:jc w:val="center"/>
            </w:pPr>
            <w:r>
              <w:rPr/>
              <w:t xml:space="preserve">36 798 Kč</w:t>
            </w:r>
          </w:p>
        </w:tc>
        <w:tc>
          <w:tcPr>
            <w:tcW w:w="1000" w:type="dxa"/>
          </w:tcPr>
          <w:p>
            <w:pPr>
              <w:jc w:val="center"/>
            </w:pPr>
            <w:r>
              <w:rPr/>
              <w:t xml:space="preserve">53 773 Kč</w:t>
            </w:r>
          </w:p>
        </w:tc>
        <w:tc>
          <w:tcPr>
            <w:tcW w:w="1000" w:type="dxa"/>
          </w:tcPr>
          <w:p>
            <w:pPr>
              <w:jc w:val="center"/>
            </w:pPr>
            <w:r>
              <w:rPr/>
              <w:t xml:space="preserve">78 855 Kč</w:t>
            </w:r>
          </w:p>
        </w:tc>
        <w:tc>
          <w:tcPr>
            <w:tcW w:w="1000" w:type="dxa"/>
          </w:tcPr>
          <w:p/>
        </w:tc>
        <w:tc>
          <w:tcPr>
            <w:tcW w:w="1000" w:type="dxa"/>
          </w:tcPr>
          <w:p/>
        </w:tc>
        <w:tc>
          <w:tcPr>
            <w:tcW w:w="1000" w:type="dxa"/>
          </w:tcPr>
          <w:p/>
        </w:tc>
      </w:tr>
      <w:tr>
        <w:trPr/>
        <w:tc>
          <w:tcPr>
            <w:tcW w:w="2000" w:type="dxa"/>
          </w:tcPr>
          <w:p>
            <w:pPr/>
            <w:r>
              <w:rPr/>
              <w:t xml:space="preserve">Olomoucký kraj</w:t>
            </w:r>
          </w:p>
        </w:tc>
        <w:tc>
          <w:tcPr>
            <w:tcW w:w="1000" w:type="dxa"/>
          </w:tcPr>
          <w:p>
            <w:pPr>
              <w:jc w:val="center"/>
            </w:pPr>
            <w:r>
              <w:rPr/>
              <w:t xml:space="preserve">34 698 Kč</w:t>
            </w:r>
          </w:p>
        </w:tc>
        <w:tc>
          <w:tcPr>
            <w:tcW w:w="1000" w:type="dxa"/>
          </w:tcPr>
          <w:p>
            <w:pPr>
              <w:jc w:val="center"/>
            </w:pPr>
            <w:r>
              <w:rPr/>
              <w:t xml:space="preserve">51 301 Kč</w:t>
            </w:r>
          </w:p>
        </w:tc>
        <w:tc>
          <w:tcPr>
            <w:tcW w:w="1000" w:type="dxa"/>
          </w:tcPr>
          <w:p>
            <w:pPr>
              <w:jc w:val="center"/>
            </w:pPr>
            <w:r>
              <w:rPr/>
              <w:t xml:space="preserve">71 708 Kč</w:t>
            </w:r>
          </w:p>
        </w:tc>
        <w:tc>
          <w:tcPr>
            <w:tcW w:w="1000" w:type="dxa"/>
          </w:tcPr>
          <w:p/>
        </w:tc>
        <w:tc>
          <w:tcPr>
            <w:tcW w:w="1000" w:type="dxa"/>
          </w:tcPr>
          <w:p/>
        </w:tc>
        <w:tc>
          <w:tcPr>
            <w:tcW w:w="1000" w:type="dxa"/>
          </w:tcPr>
          <w:p/>
        </w:tc>
      </w:tr>
      <w:tr>
        <w:trPr/>
        <w:tc>
          <w:tcPr>
            <w:tcW w:w="2000" w:type="dxa"/>
          </w:tcPr>
          <w:p>
            <w:pPr/>
            <w:r>
              <w:rPr/>
              <w:t xml:space="preserve">Zlínský kraj</w:t>
            </w:r>
          </w:p>
        </w:tc>
        <w:tc>
          <w:tcPr>
            <w:tcW w:w="1000" w:type="dxa"/>
          </w:tcPr>
          <w:p>
            <w:pPr>
              <w:jc w:val="center"/>
            </w:pPr>
            <w:r>
              <w:rPr/>
              <w:t xml:space="preserve">30 267 Kč</w:t>
            </w:r>
          </w:p>
        </w:tc>
        <w:tc>
          <w:tcPr>
            <w:tcW w:w="1000" w:type="dxa"/>
          </w:tcPr>
          <w:p>
            <w:pPr>
              <w:jc w:val="center"/>
            </w:pPr>
            <w:r>
              <w:rPr/>
              <w:t xml:space="preserve">53 627 Kč</w:t>
            </w:r>
          </w:p>
        </w:tc>
        <w:tc>
          <w:tcPr>
            <w:tcW w:w="1000" w:type="dxa"/>
          </w:tcPr>
          <w:p>
            <w:pPr>
              <w:jc w:val="center"/>
            </w:pPr>
            <w:r>
              <w:rPr/>
              <w:t xml:space="preserve">81 495 Kč</w:t>
            </w:r>
          </w:p>
        </w:tc>
        <w:tc>
          <w:tcPr>
            <w:tcW w:w="1000" w:type="dxa"/>
          </w:tcPr>
          <w:p/>
        </w:tc>
        <w:tc>
          <w:tcPr>
            <w:tcW w:w="1000" w:type="dxa"/>
          </w:tcPr>
          <w:p/>
        </w:tc>
        <w:tc>
          <w:tcPr>
            <w:tcW w:w="1000" w:type="dxa"/>
          </w:tcPr>
          <w:p/>
        </w:tc>
      </w:tr>
      <w:tr>
        <w:trPr/>
        <w:tc>
          <w:tcPr>
            <w:tcW w:w="2000" w:type="dxa"/>
          </w:tcPr>
          <w:p>
            <w:pPr/>
            <w:r>
              <w:rPr/>
              <w:t xml:space="preserve">Moravskoslezský kraj</w:t>
            </w:r>
          </w:p>
        </w:tc>
        <w:tc>
          <w:tcPr>
            <w:tcW w:w="1000" w:type="dxa"/>
          </w:tcPr>
          <w:p>
            <w:pPr>
              <w:jc w:val="center"/>
            </w:pPr>
            <w:r>
              <w:rPr/>
              <w:t xml:space="preserve">33 659 Kč</w:t>
            </w:r>
          </w:p>
        </w:tc>
        <w:tc>
          <w:tcPr>
            <w:tcW w:w="1000" w:type="dxa"/>
          </w:tcPr>
          <w:p>
            <w:pPr>
              <w:jc w:val="center"/>
            </w:pPr>
            <w:r>
              <w:rPr/>
              <w:t xml:space="preserve">56 318 Kč</w:t>
            </w:r>
          </w:p>
        </w:tc>
        <w:tc>
          <w:tcPr>
            <w:tcW w:w="1000" w:type="dxa"/>
          </w:tcPr>
          <w:p>
            <w:pPr>
              <w:jc w:val="center"/>
            </w:pPr>
            <w:r>
              <w:rPr/>
              <w:t xml:space="preserve">83 880 Kč</w:t>
            </w:r>
          </w:p>
        </w:tc>
        <w:tc>
          <w:tcPr>
            <w:tcW w:w="1000" w:type="dxa"/>
          </w:tcPr>
          <w:p/>
        </w:tc>
        <w:tc>
          <w:tcPr>
            <w:tcW w:w="1000" w:type="dxa"/>
          </w:tcPr>
          <w:p/>
        </w:tc>
        <w:tc>
          <w:tcPr>
            <w:tcW w:w="1000" w:type="dxa"/>
          </w:tcPr>
          <w:p/>
        </w:tc>
      </w:tr>
    </w:tbl>
    <w:p/>
    <w:p>
      <w:pPr>
        <w:pStyle w:val="Heading3"/>
      </w:pPr>
      <w:bookmarkStart w:id="6" w:name="_Toc6"/>
      <w:r>
        <w:t>Hrubé měsíční mzdy v roce 2025 celkem</w:t>
      </w:r>
      <w:bookmarkEnd w:id="6"/>
    </w:p>
    <w:tbl>
      <w:tblGrid>
        <w:gridCol w:w="1000" w:type="dxa"/>
        <w:gridCol w:w="2000" w:type="dxa"/>
        <w:gridCol w:w="3000" w:type="dxa"/>
        <w:gridCol w:w="3000" w:type="dxa"/>
      </w:tblGrid>
      <w:tblPr>
        <w:jc w:val="start"/>
        <w:tblW w:w="0" w:type="auto"/>
        <w:tblCellSpacing w:w="50" w:type="dxa"/>
        <w:tblLayout w:type="autofit"/>
        <w:bidiVisual w:val="0"/>
        <w:tblCellMar>
          <w:top w:w="80" w:type="dxa"/>
          <w:left w:w="80" w:type="dxa"/>
          <w:right w:w="80" w:type="dxa"/>
          <w:bottom w:w="80" w:type="dxa"/>
        </w:tblCellMar>
      </w:tblPr>
      <w:tr>
        <w:trPr/>
        <w:tc>
          <w:tcPr>
            <w:tcW w:w="3000" w:type="dxa"/>
            <w:gridSpan w:val="2"/>
          </w:tcPr>
          <w:p/>
        </w:tc>
        <w:tc>
          <w:tcPr>
            <w:tcW w:w="6000" w:type="dxa"/>
            <w:gridSpan w:val="2"/>
          </w:tcPr>
          <w:p>
            <w:pPr>
              <w:jc w:val="center"/>
            </w:pPr>
            <w:r>
              <w:rPr>
                <w:b w:val="1"/>
                <w:bCs w:val="1"/>
              </w:rPr>
              <w:t xml:space="preserve">Medián za ČR celkem</w:t>
            </w:r>
          </w:p>
        </w:tc>
      </w:tr>
      <w:tr>
        <w:trPr/>
        <w:tc>
          <w:tcPr>
            <w:tcW w:w="1000" w:type="dxa"/>
          </w:tcPr>
          <w:p>
            <w:pPr/>
            <w:r>
              <w:rPr>
                <w:b w:val="1"/>
                <w:bCs w:val="1"/>
              </w:rPr>
              <w:t xml:space="preserve">CZ-ISCO</w:t>
            </w:r>
          </w:p>
        </w:tc>
        <w:tc>
          <w:tcPr>
            <w:tcW w:w="2000" w:type="dxa"/>
          </w:tcPr>
          <w:p/>
        </w:tc>
        <w:tc>
          <w:tcPr>
            <w:tcW w:w="3000" w:type="dxa"/>
          </w:tcPr>
          <w:p>
            <w:pPr>
              <w:jc w:val="center"/>
            </w:pPr>
            <w:r>
              <w:rPr>
                <w:b w:val="1"/>
                <w:bCs w:val="1"/>
              </w:rPr>
              <w:t xml:space="preserve">Mzdová sféra</w:t>
            </w:r>
          </w:p>
        </w:tc>
        <w:tc>
          <w:tcPr>
            <w:tcW w:w="3000" w:type="dxa"/>
          </w:tcPr>
          <w:p>
            <w:pPr>
              <w:jc w:val="center"/>
            </w:pPr>
            <w:r>
              <w:rPr>
                <w:b w:val="1"/>
                <w:bCs w:val="1"/>
              </w:rPr>
              <w:t xml:space="preserve">Platová sféra</w:t>
            </w:r>
          </w:p>
        </w:tc>
      </w:tr>
      <w:tr>
        <w:trPr/>
        <w:tc>
          <w:tcPr>
            <w:tcW w:w="1000" w:type="dxa"/>
          </w:tcPr>
          <w:p>
            <w:pPr>
              <w:jc w:val="center"/>
            </w:pPr>
            <w:r>
              <w:rPr/>
              <w:t xml:space="preserve">3122</w:t>
            </w:r>
          </w:p>
        </w:tc>
        <w:tc>
          <w:tcPr>
            <w:tcW w:w="2000" w:type="dxa"/>
          </w:tcPr>
          <w:p>
            <w:pPr/>
            <w:r>
              <w:rPr/>
              <w:t xml:space="preserve">Mistři a příbuzní pracovníci ve výrobě (kromě hutní výroby a slévárenství)</w:t>
            </w:r>
          </w:p>
        </w:tc>
        <w:tc>
          <w:tcPr>
            <w:tcW w:w="1000" w:type="dxa"/>
          </w:tcPr>
          <w:p>
            <w:pPr>
              <w:jc w:val="center"/>
            </w:pPr>
            <w:r>
              <w:rPr/>
              <w:t xml:space="preserve">47 054 Kč</w:t>
            </w:r>
          </w:p>
        </w:tc>
        <w:tc>
          <w:tcPr>
            <w:tcW w:w="1000" w:type="dxa"/>
          </w:tcPr>
          <w:p>
            <w:pPr>
              <w:jc w:val="center"/>
            </w:pPr>
            <w:r>
              <w:rPr/>
              <w:t xml:space="preserve">56 163 Kč</w:t>
            </w:r>
          </w:p>
        </w:tc>
      </w:tr>
      <w:tr>
        <w:trPr/>
        <w:tc>
          <w:tcPr>
            <w:tcW w:w="1000" w:type="dxa"/>
          </w:tcPr>
          <w:p>
            <w:pPr>
              <w:jc w:val="center"/>
            </w:pPr>
            <w:r>
              <w:rPr/>
              <w:t xml:space="preserve">31224</w:t>
            </w:r>
          </w:p>
        </w:tc>
        <w:tc>
          <w:tcPr>
            <w:tcW w:w="2000" w:type="dxa"/>
          </w:tcPr>
          <w:p>
            <w:pPr/>
            <w:r>
              <w:rPr/>
              <w:t xml:space="preserve">Mistři a příbuzní pracovníci v chemii, farmacii a potravinářství</w:t>
            </w:r>
          </w:p>
        </w:tc>
        <w:tc>
          <w:tcPr>
            <w:tcW w:w="1000" w:type="dxa"/>
          </w:tcPr>
          <w:p>
            <w:pPr>
              <w:jc w:val="center"/>
            </w:pPr>
            <w:r>
              <w:rPr/>
              <w:t xml:space="preserve">-</w:t>
            </w:r>
          </w:p>
        </w:tc>
        <w:tc>
          <w:tcPr>
            <w:tcW w:w="1000" w:type="dxa"/>
          </w:tcPr>
          <w:p>
            <w:pPr>
              <w:jc w:val="center"/>
            </w:pPr>
            <w:r>
              <w:rPr/>
              <w:t xml:space="preserve">59 154 Kč</w:t>
            </w:r>
          </w:p>
        </w:tc>
      </w:tr>
    </w:tbl>
    <w:p/>
    <w:p>
      <w:pPr>
        <w:pStyle w:val="Heading2"/>
      </w:pPr>
      <w:bookmarkStart w:id="7" w:name="_Toc7"/>
      <w:r>
        <w:t>ESCO</w:t>
      </w:r>
      <w:bookmarkEnd w:id="7"/>
    </w:p>
    <w:tbl>
      <w:tblGrid>
        <w:gridCol w:w="3000" w:type="dxa"/>
        <w:gridCol w:w="3000" w:type="dxa"/>
        <w:gridCol w:w="3000" w:type="dxa"/>
      </w:tblGrid>
      <w:tblPr>
        <w:jc w:val="start"/>
        <w:tblW w:w="0" w:type="auto"/>
        <w:tblCellSpacing w:w="50" w:type="dxa"/>
        <w:tblLayout w:type="autofit"/>
        <w:bidiVisual w:val="0"/>
        <w:tblCellMar>
          <w:top w:w="80" w:type="dxa"/>
          <w:left w:w="80" w:type="dxa"/>
          <w:right w:w="80" w:type="dxa"/>
          <w:bottom w:w="80" w:type="dxa"/>
        </w:tblCellMar>
      </w:tblPr>
      <w:tr>
        <w:trPr/>
        <w:tc>
          <w:tcPr>
            <w:tcW w:w="3000" w:type="dxa"/>
          </w:tcPr>
          <w:p>
            <w:pPr>
              <w:jc w:val="center"/>
            </w:pPr>
            <w:r>
              <w:rPr>
                <w:b w:val="1"/>
                <w:bCs w:val="1"/>
              </w:rPr>
              <w:t xml:space="preserve">Kód podskupiny</w:t>
            </w:r>
          </w:p>
        </w:tc>
        <w:tc>
          <w:tcPr>
            <w:tcW w:w="3000" w:type="dxa"/>
          </w:tcPr>
          <w:p>
            <w:pPr>
              <w:jc w:val="center"/>
            </w:pPr>
            <w:r>
              <w:rPr>
                <w:b w:val="1"/>
                <w:bCs w:val="1"/>
              </w:rPr>
              <w:t xml:space="preserve">Název podskupiny v ESCO</w:t>
            </w:r>
          </w:p>
        </w:tc>
        <w:tc>
          <w:tcPr>
            <w:tcW w:w="3000" w:type="dxa"/>
          </w:tcPr>
          <w:p>
            <w:pPr>
              <w:jc w:val="center"/>
            </w:pPr>
            <w:r>
              <w:rPr>
                <w:b w:val="1"/>
                <w:bCs w:val="1"/>
              </w:rPr>
              <w:t xml:space="preserve">URL - podskupiny v ESCO</w:t>
            </w:r>
          </w:p>
        </w:tc>
      </w:tr>
      <w:tr>
        <w:trPr/>
        <w:tc>
          <w:tcPr>
            <w:tcW w:w="3000" w:type="dxa"/>
          </w:tcPr>
          <w:p>
            <w:pPr/>
            <w:r>
              <w:rPr/>
              <w:t xml:space="preserve">3122</w:t>
            </w:r>
          </w:p>
        </w:tc>
        <w:tc>
          <w:tcPr>
            <w:tcW w:w="3000" w:type="dxa"/>
          </w:tcPr>
          <w:p>
            <w:pPr/>
            <w:r>
              <w:rPr/>
              <w:t xml:space="preserve">Mistři a příbuzní pracovníci ve výrobě</w:t>
            </w:r>
          </w:p>
        </w:tc>
        <w:tc>
          <w:tcPr>
            <w:tcW w:w="3000" w:type="dxa"/>
          </w:tcPr>
          <w:p>
            <w:pPr/>
            <w:r>
              <w:rPr/>
              <w:t xml:space="preserve">http://data.europa.eu/esco/isco/C3122</w:t>
            </w:r>
          </w:p>
        </w:tc>
      </w:tr>
    </w:tbl>
    <w:p/>
    <w:p/>
    <w:p/>
    <w:p>
      <w:pPr>
        <w:pStyle w:val="Heading2"/>
      </w:pPr>
      <w:bookmarkStart w:id="8" w:name="_Toc8"/>
      <w:r>
        <w:t>Pracovní podmínky</w:t>
      </w:r>
      <w:bookmarkEnd w:id="8"/>
    </w:p>
    <w:p>
      <w:pPr/>
      <w:r>
        <w:rPr/>
        <w:t xml:space="preserve">Rizikové faktory pracovních podmínek a vyskytující se druhy zátěže upravuje nařízení vlády č. 361/2007 Sb., kterým se stanoví podmínky ochrany zdraví při práci, zákon č. 258/2000 Sb., o ochraně veřejného zdraví a zákon č. 262/2006 Sb., zákoník práce. Vždy vyplývají z pracovních podmínek, které se vztahují ke konkrétnímu zaměstnavateli, tudíž se mohou u různých zaměstnavatelů lišit.</w:t>
      </w:r>
    </w:p>
    <w:p/>
    <w:p>
      <w:pPr/>
      <w:r>
        <w:rPr/>
        <w:t xml:space="preserve">Určení míry výskytu faktorů, které mohou ovlivnit zdraví při práci vychází z druhu práce vykonávané na pracovišti. Faktory se zařazují do čtyř kategorií dle míry zdravotního rizika a jeho vlivu na zdraví. O zařazení prací do třetí nebo čtvrté kategorie rozhoduje příslušný orgán ochrany veřejného zdraví.</w:t>
      </w:r>
    </w:p>
    <w:p/>
    <w:p>
      <w:pPr>
        <w:numPr>
          <w:ilvl w:val="0"/>
          <w:numId w:val="5"/>
        </w:numPr>
      </w:pPr>
      <w:r>
        <w:rPr>
          <w:sz w:val="16"/>
          <w:szCs w:val="16"/>
          <w:i w:val="1"/>
          <w:iCs w:val="1"/>
        </w:rPr>
        <w:t xml:space="preserve">1. Stupeň zátěže (minimální zdravotní riziko) - Faktor se při výkonu práce nevyskytuje nebo je zátěž faktorem minimální, vliv faktoru je ze zdravotního hlediska nevýznamný.</w:t>
      </w:r>
    </w:p>
    <w:p>
      <w:pPr>
        <w:numPr>
          <w:ilvl w:val="0"/>
          <w:numId w:val="5"/>
        </w:numPr>
      </w:pPr>
      <w:r>
        <w:rPr>
          <w:sz w:val="16"/>
          <w:szCs w:val="16"/>
          <w:i w:val="1"/>
          <w:iCs w:val="1"/>
        </w:rPr>
        <w:t xml:space="preserve">2. Stupeň zátěže (únosná míra zdravotního rizika) - Ze zdravotního hlediska je míra zátěže faktorem únosná, nepřekračuje limity stanovené předpisy, vliv faktoru je akceptovatelný pro zdravého člověka.</w:t>
      </w:r>
    </w:p>
    <w:p>
      <w:pPr>
        <w:numPr>
          <w:ilvl w:val="0"/>
          <w:numId w:val="5"/>
        </w:numPr>
      </w:pPr>
      <w:r>
        <w:rPr>
          <w:sz w:val="16"/>
          <w:szCs w:val="16"/>
          <w:i w:val="1"/>
          <w:iCs w:val="1"/>
        </w:rPr>
        <w:t xml:space="preserve">3. Stupeň zátěže (významná míra zdravotního rizika) - Úroveň zátěže překračuje stanovené limitní hodnoty expozice (zátěže), na pracovištích je nutná realizace náhradních technických a organizačních opatření, nelze vyloučit negativní vliv na zdraví pracovníků.</w:t>
      </w:r>
    </w:p>
    <w:p>
      <w:pPr>
        <w:numPr>
          <w:ilvl w:val="0"/>
          <w:numId w:val="5"/>
        </w:numPr>
      </w:pPr>
      <w:r>
        <w:rPr>
          <w:sz w:val="16"/>
          <w:szCs w:val="16"/>
          <w:i w:val="1"/>
          <w:iCs w:val="1"/>
        </w:rPr>
        <w:t xml:space="preserve">4. Stupeň zátěže (vysoká míra zdravotního rizika) - Úroveň zátěže vysoce překračuje stanovené limitní hodnoty expozice, na pracovištích musí být dodržován soubor preventivních opatření, častěji dochází k poškození zdraví.</w:t>
      </w:r>
    </w:p>
    <w:p/>
    <w:p/>
    <w:p>
      <w:pPr>
        <w:pStyle w:val="Heading2"/>
      </w:pPr>
      <w:bookmarkStart w:id="9" w:name="_Toc9"/>
      <w:r>
        <w:t>Kvalifikace k výkonu povolání</w:t>
      </w:r>
      <w:bookmarkEnd w:id="9"/>
    </w:p>
    <w:p>
      <w:pPr>
        <w:pStyle w:val="Heading3"/>
      </w:pPr>
      <w:bookmarkStart w:id="10" w:name="_Toc10"/>
      <w:r>
        <w:t>Školní vzdělání</w:t>
      </w:r>
      <w:bookmarkEnd w:id="10"/>
    </w:p>
    <w:p/>
    <w:p>
      <w:pPr>
        <w:pStyle w:val="Heading4"/>
      </w:pPr>
      <w:bookmarkStart w:id="11" w:name="_Toc11"/>
      <w:r>
        <w:t>Nejvhodnější školní přípravu poskytují obory:</w:t>
      </w:r>
      <w:bookmarkEnd w:id="11"/>
    </w:p>
    <w:tbl>
      <w:tblGrid>
        <w:gridCol w:w="2000" w:type="dxa"/>
        <w:gridCol w:w="5000" w:type="dxa"/>
        <w:gridCol w:w="2000" w:type="dxa"/>
      </w:tblGrid>
      <w:tblPr>
        <w:jc w:val="start"/>
        <w:tblW w:w="0" w:type="auto"/>
        <w:tblCellSpacing w:w="50" w:type="dxa"/>
        <w:tblLayout w:type="autofit"/>
        <w:bidiVisual w:val="0"/>
        <w:tblCellMar>
          <w:top w:w="80" w:type="dxa"/>
          <w:left w:w="80" w:type="dxa"/>
          <w:right w:w="80" w:type="dxa"/>
          <w:bottom w:w="80" w:type="dxa"/>
        </w:tblCellMar>
      </w:tblPr>
      <w:tr>
        <w:trPr/>
        <w:tc>
          <w:tcPr>
            <w:tcW w:w="2000" w:type="dxa"/>
          </w:tcPr>
          <w:p>
            <w:pPr>
              <w:jc w:val="center"/>
            </w:pPr>
            <w:r>
              <w:rPr>
                <w:b w:val="1"/>
                <w:bCs w:val="1"/>
              </w:rPr>
              <w:t xml:space="preserve">Typ</w:t>
            </w:r>
          </w:p>
        </w:tc>
        <w:tc>
          <w:tcPr>
            <w:tcW w:w="5000" w:type="dxa"/>
          </w:tcPr>
          <w:p>
            <w:pPr>
              <w:jc w:val="center"/>
            </w:pPr>
            <w:r>
              <w:rPr>
                <w:b w:val="1"/>
                <w:bCs w:val="1"/>
              </w:rPr>
              <w:t xml:space="preserve">Název</w:t>
            </w:r>
          </w:p>
        </w:tc>
        <w:tc>
          <w:tcPr>
            <w:tcW w:w="2000" w:type="dxa"/>
          </w:tcPr>
          <w:p>
            <w:pPr>
              <w:jc w:val="center"/>
            </w:pPr>
            <w:r>
              <w:rPr>
                <w:b w:val="1"/>
                <w:bCs w:val="1"/>
              </w:rPr>
              <w:t xml:space="preserve">Kód</w:t>
            </w:r>
          </w:p>
        </w:tc>
      </w:tr>
      <w:tr>
        <w:trPr/>
        <w:tc>
          <w:tcPr>
            <w:tcW w:w="2000" w:type="dxa"/>
          </w:tcPr>
          <w:p>
            <w:pPr>
              <w:jc w:val="center"/>
            </w:pPr>
            <w:r>
              <w:rPr/>
              <w:t xml:space="preserve">KKOV</w:t>
            </w:r>
          </w:p>
        </w:tc>
        <w:tc>
          <w:tcPr>
            <w:tcW w:w="5000" w:type="dxa"/>
          </w:tcPr>
          <w:p>
            <w:pPr/>
            <w:r>
              <w:rPr/>
              <w:t xml:space="preserve">Střední vzdělání s maturitní zkouškou (bez vyučení) v oboru chemická technologie</w:t>
            </w:r>
          </w:p>
        </w:tc>
        <w:tc>
          <w:tcPr>
            <w:tcW w:w="2000" w:type="dxa"/>
          </w:tcPr>
          <w:p>
            <w:pPr>
              <w:jc w:val="center"/>
            </w:pPr>
            <w:r>
              <w:rPr/>
              <w:t xml:space="preserve">2841M</w:t>
            </w:r>
          </w:p>
        </w:tc>
      </w:tr>
      <w:tr>
        <w:trPr/>
        <w:tc>
          <w:tcPr>
            <w:tcW w:w="2000" w:type="dxa"/>
          </w:tcPr>
          <w:p>
            <w:pPr>
              <w:jc w:val="center"/>
            </w:pPr>
            <w:r>
              <w:rPr/>
              <w:t xml:space="preserve">RVP</w:t>
            </w:r>
          </w:p>
        </w:tc>
        <w:tc>
          <w:tcPr>
            <w:tcW w:w="5000" w:type="dxa"/>
          </w:tcPr>
          <w:p>
            <w:pPr/>
            <w:r>
              <w:rPr/>
              <w:t xml:space="preserve">Aplikovaná chemie</w:t>
            </w:r>
          </w:p>
        </w:tc>
        <w:tc>
          <w:tcPr>
            <w:tcW w:w="2000" w:type="dxa"/>
          </w:tcPr>
          <w:p>
            <w:pPr>
              <w:jc w:val="center"/>
            </w:pPr>
            <w:r>
              <w:rPr/>
              <w:t xml:space="preserve">28-44-M/01</w:t>
            </w:r>
          </w:p>
        </w:tc>
      </w:tr>
    </w:tbl>
    <w:p/>
    <w:p>
      <w:pPr>
        <w:pStyle w:val="Heading4"/>
      </w:pPr>
      <w:bookmarkStart w:id="12" w:name="_Toc12"/>
      <w:r>
        <w:t>Vhodnou školní přípravu poskytují také obory:</w:t>
      </w:r>
      <w:bookmarkEnd w:id="12"/>
    </w:p>
    <w:tbl>
      <w:tblGrid>
        <w:gridCol w:w="2000" w:type="dxa"/>
        <w:gridCol w:w="5000" w:type="dxa"/>
        <w:gridCol w:w="2000" w:type="dxa"/>
      </w:tblGrid>
      <w:tblPr>
        <w:jc w:val="start"/>
        <w:tblW w:w="0" w:type="auto"/>
        <w:tblCellSpacing w:w="50" w:type="dxa"/>
        <w:tblLayout w:type="autofit"/>
        <w:bidiVisual w:val="0"/>
        <w:tblCellMar>
          <w:top w:w="80" w:type="dxa"/>
          <w:left w:w="80" w:type="dxa"/>
          <w:right w:w="80" w:type="dxa"/>
          <w:bottom w:w="80" w:type="dxa"/>
        </w:tblCellMar>
      </w:tblPr>
      <w:tr>
        <w:trPr/>
        <w:tc>
          <w:tcPr>
            <w:tcW w:w="2000" w:type="dxa"/>
          </w:tcPr>
          <w:p>
            <w:pPr>
              <w:jc w:val="center"/>
            </w:pPr>
            <w:r>
              <w:rPr>
                <w:b w:val="1"/>
                <w:bCs w:val="1"/>
              </w:rPr>
              <w:t xml:space="preserve">Typ</w:t>
            </w:r>
          </w:p>
        </w:tc>
        <w:tc>
          <w:tcPr>
            <w:tcW w:w="5000" w:type="dxa"/>
          </w:tcPr>
          <w:p>
            <w:pPr>
              <w:jc w:val="center"/>
            </w:pPr>
            <w:r>
              <w:rPr>
                <w:b w:val="1"/>
                <w:bCs w:val="1"/>
              </w:rPr>
              <w:t xml:space="preserve">Název</w:t>
            </w:r>
          </w:p>
        </w:tc>
        <w:tc>
          <w:tcPr>
            <w:tcW w:w="2000" w:type="dxa"/>
          </w:tcPr>
          <w:p>
            <w:pPr>
              <w:jc w:val="center"/>
            </w:pPr>
            <w:r>
              <w:rPr>
                <w:b w:val="1"/>
                <w:bCs w:val="1"/>
              </w:rPr>
              <w:t xml:space="preserve">Kód</w:t>
            </w:r>
          </w:p>
        </w:tc>
      </w:tr>
      <w:tr>
        <w:trPr/>
        <w:tc>
          <w:tcPr>
            <w:tcW w:w="2000" w:type="dxa"/>
          </w:tcPr>
          <w:p>
            <w:pPr>
              <w:jc w:val="center"/>
            </w:pPr>
            <w:r>
              <w:rPr/>
              <w:t xml:space="preserve">KKOV</w:t>
            </w:r>
          </w:p>
        </w:tc>
        <w:tc>
          <w:tcPr>
            <w:tcW w:w="5000" w:type="dxa"/>
          </w:tcPr>
          <w:p>
            <w:pPr/>
            <w:r>
              <w:rPr/>
              <w:t xml:space="preserve">Střední vzdělání s maturitní zkouškou (bez vyučení) v oboru průmyslová chemie</w:t>
            </w:r>
          </w:p>
        </w:tc>
        <w:tc>
          <w:tcPr>
            <w:tcW w:w="2000" w:type="dxa"/>
          </w:tcPr>
          <w:p>
            <w:pPr>
              <w:jc w:val="center"/>
            </w:pPr>
            <w:r>
              <w:rPr/>
              <w:t xml:space="preserve">2842M</w:t>
            </w:r>
          </w:p>
        </w:tc>
      </w:tr>
      <w:tr>
        <w:trPr/>
        <w:tc>
          <w:tcPr>
            <w:tcW w:w="2000" w:type="dxa"/>
          </w:tcPr>
          <w:p>
            <w:pPr>
              <w:jc w:val="center"/>
            </w:pPr>
            <w:r>
              <w:rPr/>
              <w:t xml:space="preserve">KKOV</w:t>
            </w:r>
          </w:p>
        </w:tc>
        <w:tc>
          <w:tcPr>
            <w:tcW w:w="5000" w:type="dxa"/>
          </w:tcPr>
          <w:p>
            <w:pPr/>
            <w:r>
              <w:rPr/>
              <w:t xml:space="preserve">Střední vzdělání s maturitní zkouškou (bez vyučení) v oboru analytická chemie aplikovaná</w:t>
            </w:r>
          </w:p>
        </w:tc>
        <w:tc>
          <w:tcPr>
            <w:tcW w:w="2000" w:type="dxa"/>
          </w:tcPr>
          <w:p>
            <w:pPr>
              <w:jc w:val="center"/>
            </w:pPr>
            <w:r>
              <w:rPr/>
              <w:t xml:space="preserve">2843M</w:t>
            </w:r>
          </w:p>
        </w:tc>
      </w:tr>
      <w:tr>
        <w:trPr/>
        <w:tc>
          <w:tcPr>
            <w:tcW w:w="2000" w:type="dxa"/>
          </w:tcPr>
          <w:p>
            <w:pPr>
              <w:jc w:val="center"/>
            </w:pPr>
            <w:r>
              <w:rPr/>
              <w:t xml:space="preserve">KKOV</w:t>
            </w:r>
          </w:p>
        </w:tc>
        <w:tc>
          <w:tcPr>
            <w:tcW w:w="5000" w:type="dxa"/>
          </w:tcPr>
          <w:p>
            <w:pPr/>
            <w:r>
              <w:rPr/>
              <w:t xml:space="preserve">Střední vzdělání s maturitní zkouškou v oboru analytická chemie aplikovaná</w:t>
            </w:r>
          </w:p>
        </w:tc>
        <w:tc>
          <w:tcPr>
            <w:tcW w:w="2000" w:type="dxa"/>
          </w:tcPr>
          <w:p>
            <w:pPr>
              <w:jc w:val="center"/>
            </w:pPr>
            <w:r>
              <w:rPr/>
              <w:t xml:space="preserve">2843L</w:t>
            </w:r>
          </w:p>
        </w:tc>
      </w:tr>
    </w:tbl>
    <w:p/>
    <w:p>
      <w:pPr>
        <w:pStyle w:val="Heading3"/>
      </w:pPr>
      <w:bookmarkStart w:id="13" w:name="_Toc13"/>
      <w:r>
        <w:t>Další vzdělání</w:t>
      </w:r>
      <w:bookmarkEnd w:id="13"/>
    </w:p>
    <w:p>
      <w:pPr>
        <w:pStyle w:val="Heading4"/>
      </w:pPr>
      <w:bookmarkStart w:id="14" w:name="_Toc14"/>
      <w:r>
        <w:t>Profesní kvalifikace</w:t>
      </w:r>
      <w:bookmarkEnd w:id="14"/>
    </w:p>
    <w:p>
      <w:pPr>
        <w:numPr>
          <w:ilvl w:val="0"/>
          <w:numId w:val="5"/>
        </w:numPr>
      </w:pPr>
      <w:r>
        <w:rPr/>
        <w:t xml:space="preserve">Chemický technik manažer provozu / chemická technička manažerka provozu (28-038-M)</w:t>
      </w:r>
    </w:p>
    <w:p/>
    <w:p/>
    <w:p>
      <w:pPr>
        <w:pStyle w:val="Heading2"/>
      </w:pPr>
      <w:bookmarkStart w:id="15" w:name="_Toc15"/>
      <w:r>
        <w:t>Kompetenční požadavky</w:t>
      </w:r>
      <w:bookmarkEnd w:id="15"/>
    </w:p>
    <w:p>
      <w:pPr>
        <w:pStyle w:val="Heading3"/>
      </w:pPr>
      <w:bookmarkStart w:id="16" w:name="_Toc16"/>
      <w:r>
        <w:t>Odborné dovednosti</w:t>
      </w:r>
      <w:bookmarkEnd w:id="16"/>
    </w:p>
    <w:tbl>
      <w:tblGrid>
        <w:gridCol w:w="2000" w:type="dxa"/>
        <w:gridCol w:w="3000" w:type="dxa"/>
        <w:gridCol w:w="2000" w:type="dxa"/>
        <w:gridCol w:w="2000" w:type="dxa"/>
      </w:tblGrid>
      <w:tblPr>
        <w:jc w:val="start"/>
        <w:tblW w:w="0" w:type="auto"/>
        <w:tblCellSpacing w:w="50" w:type="dxa"/>
        <w:tblLayout w:type="autofit"/>
        <w:bidiVisual w:val="0"/>
        <w:tblCellMar>
          <w:top w:w="80" w:type="dxa"/>
          <w:left w:w="80" w:type="dxa"/>
          <w:right w:w="80" w:type="dxa"/>
          <w:bottom w:w="80" w:type="dxa"/>
        </w:tblCellMar>
      </w:tblPr>
      <w:tr>
        <w:trPr/>
        <w:tc>
          <w:tcPr>
            <w:tcW w:w="2000" w:type="dxa"/>
          </w:tcPr>
          <w:p>
            <w:pPr>
              <w:jc w:val="center"/>
            </w:pPr>
            <w:r>
              <w:rPr>
                <w:b w:val="1"/>
                <w:bCs w:val="1"/>
              </w:rPr>
              <w:t xml:space="preserve">Kód</w:t>
            </w:r>
          </w:p>
        </w:tc>
        <w:tc>
          <w:tcPr>
            <w:tcW w:w="3000" w:type="dxa"/>
          </w:tcPr>
          <w:p>
            <w:pPr>
              <w:jc w:val="center"/>
            </w:pPr>
            <w:r>
              <w:rPr>
                <w:b w:val="1"/>
                <w:bCs w:val="1"/>
              </w:rPr>
              <w:t xml:space="preserve">Název</w:t>
            </w:r>
          </w:p>
        </w:tc>
        <w:tc>
          <w:tcPr>
            <w:tcW w:w="2000" w:type="dxa"/>
          </w:tcPr>
          <w:p>
            <w:pPr>
              <w:jc w:val="center"/>
            </w:pPr>
            <w:r>
              <w:rPr>
                <w:b w:val="1"/>
                <w:bCs w:val="1"/>
              </w:rPr>
              <w:t xml:space="preserve">Úroveň 1-8</w:t>
            </w:r>
          </w:p>
        </w:tc>
        <w:tc>
          <w:tcPr>
            <w:tcW w:w="2000" w:type="dxa"/>
          </w:tcPr>
          <w:p>
            <w:pPr/>
            <w:r>
              <w:rPr>
                <w:b w:val="1"/>
                <w:bCs w:val="1"/>
              </w:rPr>
              <w:t xml:space="preserve">Vhodnost</w:t>
            </w:r>
          </w:p>
        </w:tc>
      </w:tr>
      <w:tr>
        <w:trPr/>
        <w:tc>
          <w:tcPr>
            <w:tcW w:w="2000" w:type="dxa"/>
          </w:tcPr>
          <w:p>
            <w:pPr>
              <w:jc w:val="center"/>
            </w:pPr>
            <w:r>
              <w:rPr/>
              <w:t xml:space="preserve">i53.D.2001</w:t>
            </w:r>
          </w:p>
        </w:tc>
        <w:tc>
          <w:tcPr>
            <w:tcW w:w="3000" w:type="dxa"/>
          </w:tcPr>
          <w:p>
            <w:pPr/>
            <w:r>
              <w:rPr/>
              <w:t xml:space="preserve">Plánování rozvoje a koncepce provozu chemické výroby</w:t>
            </w:r>
          </w:p>
        </w:tc>
        <w:tc>
          <w:tcPr>
            <w:tcW w:w="2000" w:type="dxa"/>
          </w:tcPr>
          <w:p>
            <w:pPr>
              <w:jc w:val="center"/>
            </w:pPr>
            <w:r>
              <w:rPr/>
              <w:t xml:space="preserve">4</w:t>
            </w:r>
          </w:p>
        </w:tc>
        <w:tc>
          <w:tcPr>
            <w:tcW w:w="2000" w:type="dxa"/>
          </w:tcPr>
          <w:p>
            <w:pPr>
              <w:jc w:val="center"/>
            </w:pPr>
            <w:r>
              <w:rPr/>
              <w:t xml:space="preserve">Nutné</w:t>
            </w:r>
          </w:p>
        </w:tc>
      </w:tr>
      <w:tr>
        <w:trPr/>
        <w:tc>
          <w:tcPr>
            <w:tcW w:w="2000" w:type="dxa"/>
          </w:tcPr>
          <w:p>
            <w:pPr>
              <w:jc w:val="center"/>
            </w:pPr>
            <w:r>
              <w:rPr/>
              <w:t xml:space="preserve">i53.Z.2001</w:t>
            </w:r>
          </w:p>
        </w:tc>
        <w:tc>
          <w:tcPr>
            <w:tcW w:w="3000" w:type="dxa"/>
          </w:tcPr>
          <w:p>
            <w:pPr/>
            <w:r>
              <w:rPr/>
              <w:t xml:space="preserve">Koordinace inovačních aktivit v chemickém provozu</w:t>
            </w:r>
          </w:p>
        </w:tc>
        <w:tc>
          <w:tcPr>
            <w:tcW w:w="2000" w:type="dxa"/>
          </w:tcPr>
          <w:p>
            <w:pPr>
              <w:jc w:val="center"/>
            </w:pPr>
            <w:r>
              <w:rPr/>
              <w:t xml:space="preserve">4</w:t>
            </w:r>
          </w:p>
        </w:tc>
        <w:tc>
          <w:tcPr>
            <w:tcW w:w="2000" w:type="dxa"/>
          </w:tcPr>
          <w:p>
            <w:pPr>
              <w:jc w:val="center"/>
            </w:pPr>
            <w:r>
              <w:rPr/>
              <w:t xml:space="preserve">Nutné</w:t>
            </w:r>
          </w:p>
        </w:tc>
      </w:tr>
      <w:tr>
        <w:trPr/>
        <w:tc>
          <w:tcPr>
            <w:tcW w:w="2000" w:type="dxa"/>
          </w:tcPr>
          <w:p>
            <w:pPr>
              <w:jc w:val="center"/>
            </w:pPr>
            <w:r>
              <w:rPr/>
              <w:t xml:space="preserve">e52.D.3013</w:t>
            </w:r>
          </w:p>
        </w:tc>
        <w:tc>
          <w:tcPr>
            <w:tcW w:w="3000" w:type="dxa"/>
          </w:tcPr>
          <w:p>
            <w:pPr/>
            <w:r>
              <w:rPr/>
              <w:t xml:space="preserve">Posouzení technické a technologické úrovně chemického provozu z pohledu technicko-ekonomické a environmentální výkonnosti</w:t>
            </w:r>
          </w:p>
        </w:tc>
        <w:tc>
          <w:tcPr>
            <w:tcW w:w="2000" w:type="dxa"/>
          </w:tcPr>
          <w:p>
            <w:pPr>
              <w:jc w:val="center"/>
            </w:pPr>
            <w:r>
              <w:rPr/>
              <w:t xml:space="preserve">4</w:t>
            </w:r>
          </w:p>
        </w:tc>
        <w:tc>
          <w:tcPr>
            <w:tcW w:w="2000" w:type="dxa"/>
          </w:tcPr>
          <w:p>
            <w:pPr>
              <w:jc w:val="center"/>
            </w:pPr>
            <w:r>
              <w:rPr/>
              <w:t xml:space="preserve">Nutné</w:t>
            </w:r>
          </w:p>
        </w:tc>
      </w:tr>
      <w:tr>
        <w:trPr/>
        <w:tc>
          <w:tcPr>
            <w:tcW w:w="2000" w:type="dxa"/>
          </w:tcPr>
          <w:p>
            <w:pPr>
              <w:jc w:val="center"/>
            </w:pPr>
            <w:r>
              <w:rPr/>
              <w:t xml:space="preserve">e52.Z.2000</w:t>
            </w:r>
          </w:p>
        </w:tc>
        <w:tc>
          <w:tcPr>
            <w:tcW w:w="3000" w:type="dxa"/>
          </w:tcPr>
          <w:p>
            <w:pPr/>
            <w:r>
              <w:rPr/>
              <w:t xml:space="preserve">Řízení výrobních procesů ve stanovených technických, technologických a ekonomických parametrech v chemickém provozu</w:t>
            </w:r>
          </w:p>
        </w:tc>
        <w:tc>
          <w:tcPr>
            <w:tcW w:w="2000" w:type="dxa"/>
          </w:tcPr>
          <w:p>
            <w:pPr>
              <w:jc w:val="center"/>
            </w:pPr>
            <w:r>
              <w:rPr/>
              <w:t xml:space="preserve">4</w:t>
            </w:r>
          </w:p>
        </w:tc>
        <w:tc>
          <w:tcPr>
            <w:tcW w:w="2000" w:type="dxa"/>
          </w:tcPr>
          <w:p>
            <w:pPr>
              <w:jc w:val="center"/>
            </w:pPr>
            <w:r>
              <w:rPr/>
              <w:t xml:space="preserve">Nutné</w:t>
            </w:r>
          </w:p>
        </w:tc>
      </w:tr>
      <w:tr>
        <w:trPr/>
        <w:tc>
          <w:tcPr>
            <w:tcW w:w="2000" w:type="dxa"/>
          </w:tcPr>
          <w:p>
            <w:pPr>
              <w:jc w:val="center"/>
            </w:pPr>
            <w:r>
              <w:rPr/>
              <w:t xml:space="preserve">e52.C.6002</w:t>
            </w:r>
          </w:p>
        </w:tc>
        <w:tc>
          <w:tcPr>
            <w:tcW w:w="3000" w:type="dxa"/>
          </w:tcPr>
          <w:p>
            <w:pPr/>
            <w:r>
              <w:rPr/>
              <w:t xml:space="preserve">Vedení a motivování zaměstnanců, zajišťování komunikace mezi zaměstnanci a vedením chemického provozu</w:t>
            </w:r>
          </w:p>
        </w:tc>
        <w:tc>
          <w:tcPr>
            <w:tcW w:w="2000" w:type="dxa"/>
          </w:tcPr>
          <w:p>
            <w:pPr>
              <w:jc w:val="center"/>
            </w:pPr>
            <w:r>
              <w:rPr/>
              <w:t xml:space="preserve">4</w:t>
            </w:r>
          </w:p>
        </w:tc>
        <w:tc>
          <w:tcPr>
            <w:tcW w:w="2000" w:type="dxa"/>
          </w:tcPr>
          <w:p>
            <w:pPr>
              <w:jc w:val="center"/>
            </w:pPr>
            <w:r>
              <w:rPr/>
              <w:t xml:space="preserve">Nutné</w:t>
            </w:r>
          </w:p>
        </w:tc>
      </w:tr>
      <w:tr>
        <w:trPr/>
        <w:tc>
          <w:tcPr>
            <w:tcW w:w="2000" w:type="dxa"/>
          </w:tcPr>
          <w:p>
            <w:pPr>
              <w:jc w:val="center"/>
            </w:pPr>
            <w:r>
              <w:rPr/>
              <w:t xml:space="preserve">e52.D.1002</w:t>
            </w:r>
          </w:p>
        </w:tc>
        <w:tc>
          <w:tcPr>
            <w:tcW w:w="3000" w:type="dxa"/>
          </w:tcPr>
          <w:p>
            <w:pPr/>
            <w:r>
              <w:rPr/>
              <w:t xml:space="preserve">Orientace ve správném nakládání s nebezpečnými látkami a směsmi v chemickém provozu</w:t>
            </w:r>
          </w:p>
        </w:tc>
        <w:tc>
          <w:tcPr>
            <w:tcW w:w="2000" w:type="dxa"/>
          </w:tcPr>
          <w:p>
            <w:pPr>
              <w:jc w:val="center"/>
            </w:pPr>
            <w:r>
              <w:rPr/>
              <w:t xml:space="preserve">4</w:t>
            </w:r>
          </w:p>
        </w:tc>
        <w:tc>
          <w:tcPr>
            <w:tcW w:w="2000" w:type="dxa"/>
          </w:tcPr>
          <w:p>
            <w:pPr>
              <w:jc w:val="center"/>
            </w:pPr>
            <w:r>
              <w:rPr/>
              <w:t xml:space="preserve">Nutné</w:t>
            </w:r>
          </w:p>
        </w:tc>
      </w:tr>
      <w:tr>
        <w:trPr/>
        <w:tc>
          <w:tcPr>
            <w:tcW w:w="2000" w:type="dxa"/>
          </w:tcPr>
          <w:p>
            <w:pPr>
              <w:jc w:val="center"/>
            </w:pPr>
            <w:r>
              <w:rPr/>
              <w:t xml:space="preserve">e52.D.1009</w:t>
            </w:r>
          </w:p>
        </w:tc>
        <w:tc>
          <w:tcPr>
            <w:tcW w:w="3000" w:type="dxa"/>
          </w:tcPr>
          <w:p>
            <w:pPr/>
            <w:r>
              <w:rPr/>
              <w:t xml:space="preserve">Orientace v metodách vedoucích k udržitelné spotřebě a udržení chemické výroby</w:t>
            </w:r>
          </w:p>
        </w:tc>
        <w:tc>
          <w:tcPr>
            <w:tcW w:w="2000" w:type="dxa"/>
          </w:tcPr>
          <w:p>
            <w:pPr>
              <w:jc w:val="center"/>
            </w:pPr>
            <w:r>
              <w:rPr/>
              <w:t xml:space="preserve">4</w:t>
            </w:r>
          </w:p>
        </w:tc>
        <w:tc>
          <w:tcPr>
            <w:tcW w:w="2000" w:type="dxa"/>
          </w:tcPr>
          <w:p>
            <w:pPr>
              <w:jc w:val="center"/>
            </w:pPr>
            <w:r>
              <w:rPr/>
              <w:t xml:space="preserve">Nutné</w:t>
            </w:r>
          </w:p>
        </w:tc>
      </w:tr>
      <w:tr>
        <w:trPr/>
        <w:tc>
          <w:tcPr>
            <w:tcW w:w="2000" w:type="dxa"/>
          </w:tcPr>
          <w:p>
            <w:pPr>
              <w:jc w:val="center"/>
            </w:pPr>
            <w:r>
              <w:rPr/>
              <w:t xml:space="preserve">e52.D.3012</w:t>
            </w:r>
          </w:p>
        </w:tc>
        <w:tc>
          <w:tcPr>
            <w:tcW w:w="3000" w:type="dxa"/>
          </w:tcPr>
          <w:p>
            <w:pPr/>
            <w:r>
              <w:rPr/>
              <w:t xml:space="preserve">Kontrola a zabezpečování dodržování pracovní a technologické kázně, předpisů pro BOZP, požární ochranu a pro péči o životní prostředí v chemickém provozu</w:t>
            </w:r>
          </w:p>
        </w:tc>
        <w:tc>
          <w:tcPr>
            <w:tcW w:w="2000" w:type="dxa"/>
          </w:tcPr>
          <w:p>
            <w:pPr>
              <w:jc w:val="center"/>
            </w:pPr>
            <w:r>
              <w:rPr/>
              <w:t xml:space="preserve">4</w:t>
            </w:r>
          </w:p>
        </w:tc>
        <w:tc>
          <w:tcPr>
            <w:tcW w:w="2000" w:type="dxa"/>
          </w:tcPr>
          <w:p>
            <w:pPr>
              <w:jc w:val="center"/>
            </w:pPr>
            <w:r>
              <w:rPr/>
              <w:t xml:space="preserve">Nutné</w:t>
            </w:r>
          </w:p>
        </w:tc>
      </w:tr>
    </w:tbl>
    <w:p>
      <w:pPr/>
      <w:r>
        <w:rPr>
          <w:sz w:val="16"/>
          <w:szCs w:val="16"/>
          <w:i w:val="1"/>
          <w:iCs w:val="1"/>
        </w:rPr>
        <w:t xml:space="preserve">Popisy úrovní naleznete zde: https://nsp.cz/downloads/Priloha_c2_manualu.pdf</w:t>
      </w:r>
    </w:p>
    <w:p/>
    <w:p>
      <w:pPr>
        <w:pStyle w:val="Heading3"/>
      </w:pPr>
      <w:bookmarkStart w:id="17" w:name="_Toc17"/>
      <w:r>
        <w:t>Odborné znalosti</w:t>
      </w:r>
      <w:bookmarkEnd w:id="17"/>
    </w:p>
    <w:tbl>
      <w:tblGrid>
        <w:gridCol w:w="2000" w:type="dxa"/>
        <w:gridCol w:w="3000" w:type="dxa"/>
        <w:gridCol w:w="2000" w:type="dxa"/>
        <w:gridCol w:w="2000" w:type="dxa"/>
      </w:tblGrid>
      <w:tblPr>
        <w:jc w:val="start"/>
        <w:tblW w:w="0" w:type="auto"/>
        <w:tblCellSpacing w:w="50" w:type="dxa"/>
        <w:tblLayout w:type="autofit"/>
        <w:bidiVisual w:val="0"/>
        <w:tblCellMar>
          <w:top w:w="80" w:type="dxa"/>
          <w:left w:w="80" w:type="dxa"/>
          <w:right w:w="80" w:type="dxa"/>
          <w:bottom w:w="80" w:type="dxa"/>
        </w:tblCellMar>
      </w:tblPr>
      <w:tr>
        <w:trPr/>
        <w:tc>
          <w:tcPr>
            <w:tcW w:w="2000" w:type="dxa"/>
          </w:tcPr>
          <w:p>
            <w:pPr>
              <w:jc w:val="center"/>
            </w:pPr>
            <w:r>
              <w:rPr>
                <w:b w:val="1"/>
                <w:bCs w:val="1"/>
              </w:rPr>
              <w:t xml:space="preserve">Kód</w:t>
            </w:r>
          </w:p>
        </w:tc>
        <w:tc>
          <w:tcPr>
            <w:tcW w:w="3000" w:type="dxa"/>
          </w:tcPr>
          <w:p>
            <w:pPr>
              <w:jc w:val="center"/>
            </w:pPr>
            <w:r>
              <w:rPr>
                <w:b w:val="1"/>
                <w:bCs w:val="1"/>
              </w:rPr>
              <w:t xml:space="preserve">Název</w:t>
            </w:r>
          </w:p>
        </w:tc>
        <w:tc>
          <w:tcPr>
            <w:tcW w:w="2000" w:type="dxa"/>
          </w:tcPr>
          <w:p>
            <w:pPr>
              <w:jc w:val="center"/>
            </w:pPr>
            <w:r>
              <w:rPr>
                <w:b w:val="1"/>
                <w:bCs w:val="1"/>
              </w:rPr>
              <w:t xml:space="preserve">Úroveň 1-8</w:t>
            </w:r>
          </w:p>
        </w:tc>
        <w:tc>
          <w:tcPr>
            <w:tcW w:w="2000" w:type="dxa"/>
          </w:tcPr>
          <w:p>
            <w:pPr/>
            <w:r>
              <w:rPr>
                <w:b w:val="1"/>
                <w:bCs w:val="1"/>
              </w:rPr>
              <w:t xml:space="preserve">Vhodnost</w:t>
            </w:r>
          </w:p>
        </w:tc>
      </w:tr>
      <w:tr>
        <w:trPr/>
        <w:tc>
          <w:tcPr>
            <w:tcW w:w="2000" w:type="dxa"/>
          </w:tcPr>
          <w:p>
            <w:pPr>
              <w:jc w:val="center"/>
            </w:pPr>
            <w:r>
              <w:rPr/>
              <w:t xml:space="preserve">i51._.0001</w:t>
            </w:r>
          </w:p>
        </w:tc>
        <w:tc>
          <w:tcPr>
            <w:tcW w:w="3000" w:type="dxa"/>
          </w:tcPr>
          <w:p>
            <w:pPr/>
            <w:r>
              <w:rPr/>
              <w:t xml:space="preserve">management obecně</w:t>
            </w:r>
          </w:p>
        </w:tc>
        <w:tc>
          <w:tcPr>
            <w:tcW w:w="2000" w:type="dxa"/>
          </w:tcPr>
          <w:p>
            <w:pPr>
              <w:jc w:val="center"/>
            </w:pPr>
            <w:r>
              <w:rPr/>
              <w:t xml:space="preserve">4</w:t>
            </w:r>
          </w:p>
        </w:tc>
        <w:tc>
          <w:tcPr>
            <w:tcW w:w="2000" w:type="dxa"/>
          </w:tcPr>
          <w:p>
            <w:pPr>
              <w:jc w:val="center"/>
            </w:pPr>
            <w:r>
              <w:rPr/>
              <w:t xml:space="preserve">Nutné</w:t>
            </w:r>
          </w:p>
        </w:tc>
      </w:tr>
      <w:tr>
        <w:trPr/>
        <w:tc>
          <w:tcPr>
            <w:tcW w:w="2000" w:type="dxa"/>
          </w:tcPr>
          <w:p>
            <w:pPr>
              <w:jc w:val="center"/>
            </w:pPr>
            <w:r>
              <w:rPr/>
              <w:t xml:space="preserve">i32._.0002</w:t>
            </w:r>
          </w:p>
        </w:tc>
        <w:tc>
          <w:tcPr>
            <w:tcW w:w="3000" w:type="dxa"/>
          </w:tcPr>
          <w:p>
            <w:pPr/>
            <w:r>
              <w:rPr/>
              <w:t xml:space="preserve">základní ekonomické ukazatele</w:t>
            </w:r>
          </w:p>
        </w:tc>
        <w:tc>
          <w:tcPr>
            <w:tcW w:w="2000" w:type="dxa"/>
          </w:tcPr>
          <w:p>
            <w:pPr>
              <w:jc w:val="center"/>
            </w:pPr>
            <w:r>
              <w:rPr/>
              <w:t xml:space="preserve">4</w:t>
            </w:r>
          </w:p>
        </w:tc>
        <w:tc>
          <w:tcPr>
            <w:tcW w:w="2000" w:type="dxa"/>
          </w:tcPr>
          <w:p>
            <w:pPr>
              <w:jc w:val="center"/>
            </w:pPr>
            <w:r>
              <w:rPr/>
              <w:t xml:space="preserve">Nutné</w:t>
            </w:r>
          </w:p>
        </w:tc>
      </w:tr>
      <w:tr>
        <w:trPr/>
        <w:tc>
          <w:tcPr>
            <w:tcW w:w="2000" w:type="dxa"/>
          </w:tcPr>
          <w:p>
            <w:pPr>
              <w:jc w:val="center"/>
            </w:pPr>
            <w:r>
              <w:rPr/>
              <w:t xml:space="preserve">j14._.0001</w:t>
            </w:r>
          </w:p>
        </w:tc>
        <w:tc>
          <w:tcPr>
            <w:tcW w:w="3000" w:type="dxa"/>
          </w:tcPr>
          <w:p>
            <w:pPr/>
            <w:r>
              <w:rPr/>
              <w:t xml:space="preserve">anorganická chemie</w:t>
            </w:r>
          </w:p>
        </w:tc>
        <w:tc>
          <w:tcPr>
            <w:tcW w:w="2000" w:type="dxa"/>
          </w:tcPr>
          <w:p>
            <w:pPr>
              <w:jc w:val="center"/>
            </w:pPr>
            <w:r>
              <w:rPr/>
              <w:t xml:space="preserve">4</w:t>
            </w:r>
          </w:p>
        </w:tc>
        <w:tc>
          <w:tcPr>
            <w:tcW w:w="2000" w:type="dxa"/>
          </w:tcPr>
          <w:p>
            <w:pPr>
              <w:jc w:val="center"/>
            </w:pPr>
            <w:r>
              <w:rPr/>
              <w:t xml:space="preserve">Nutné</w:t>
            </w:r>
          </w:p>
        </w:tc>
      </w:tr>
      <w:tr>
        <w:trPr/>
        <w:tc>
          <w:tcPr>
            <w:tcW w:w="2000" w:type="dxa"/>
          </w:tcPr>
          <w:p>
            <w:pPr>
              <w:jc w:val="center"/>
            </w:pPr>
            <w:r>
              <w:rPr/>
              <w:t xml:space="preserve">j14._.0002</w:t>
            </w:r>
          </w:p>
        </w:tc>
        <w:tc>
          <w:tcPr>
            <w:tcW w:w="3000" w:type="dxa"/>
          </w:tcPr>
          <w:p>
            <w:pPr/>
            <w:r>
              <w:rPr/>
              <w:t xml:space="preserve">organická chemie</w:t>
            </w:r>
          </w:p>
        </w:tc>
        <w:tc>
          <w:tcPr>
            <w:tcW w:w="2000" w:type="dxa"/>
          </w:tcPr>
          <w:p>
            <w:pPr>
              <w:jc w:val="center"/>
            </w:pPr>
            <w:r>
              <w:rPr/>
              <w:t xml:space="preserve">4</w:t>
            </w:r>
          </w:p>
        </w:tc>
        <w:tc>
          <w:tcPr>
            <w:tcW w:w="2000" w:type="dxa"/>
          </w:tcPr>
          <w:p>
            <w:pPr>
              <w:jc w:val="center"/>
            </w:pPr>
            <w:r>
              <w:rPr/>
              <w:t xml:space="preserve">Nutné</w:t>
            </w:r>
          </w:p>
        </w:tc>
      </w:tr>
      <w:tr>
        <w:trPr/>
        <w:tc>
          <w:tcPr>
            <w:tcW w:w="2000" w:type="dxa"/>
          </w:tcPr>
          <w:p>
            <w:pPr>
              <w:jc w:val="center"/>
            </w:pPr>
            <w:r>
              <w:rPr/>
              <w:t xml:space="preserve">j14._.0011</w:t>
            </w:r>
          </w:p>
        </w:tc>
        <w:tc>
          <w:tcPr>
            <w:tcW w:w="3000" w:type="dxa"/>
          </w:tcPr>
          <w:p>
            <w:pPr/>
            <w:r>
              <w:rPr/>
              <w:t xml:space="preserve">biochemie</w:t>
            </w:r>
          </w:p>
        </w:tc>
        <w:tc>
          <w:tcPr>
            <w:tcW w:w="2000" w:type="dxa"/>
          </w:tcPr>
          <w:p>
            <w:pPr>
              <w:jc w:val="center"/>
            </w:pPr>
            <w:r>
              <w:rPr/>
              <w:t xml:space="preserve">4</w:t>
            </w:r>
          </w:p>
        </w:tc>
        <w:tc>
          <w:tcPr>
            <w:tcW w:w="2000" w:type="dxa"/>
          </w:tcPr>
          <w:p>
            <w:pPr>
              <w:jc w:val="center"/>
            </w:pPr>
            <w:r>
              <w:rPr/>
              <w:t xml:space="preserve">Výhodné</w:t>
            </w:r>
          </w:p>
        </w:tc>
      </w:tr>
      <w:tr>
        <w:trPr/>
        <w:tc>
          <w:tcPr>
            <w:tcW w:w="2000" w:type="dxa"/>
          </w:tcPr>
          <w:p>
            <w:pPr>
              <w:jc w:val="center"/>
            </w:pPr>
            <w:r>
              <w:rPr/>
              <w:t xml:space="preserve">j14._.0012</w:t>
            </w:r>
          </w:p>
        </w:tc>
        <w:tc>
          <w:tcPr>
            <w:tcW w:w="3000" w:type="dxa"/>
          </w:tcPr>
          <w:p>
            <w:pPr/>
            <w:r>
              <w:rPr/>
              <w:t xml:space="preserve">polymerová chemie</w:t>
            </w:r>
          </w:p>
        </w:tc>
        <w:tc>
          <w:tcPr>
            <w:tcW w:w="2000" w:type="dxa"/>
          </w:tcPr>
          <w:p>
            <w:pPr>
              <w:jc w:val="center"/>
            </w:pPr>
            <w:r>
              <w:rPr/>
              <w:t xml:space="preserve">4</w:t>
            </w:r>
          </w:p>
        </w:tc>
        <w:tc>
          <w:tcPr>
            <w:tcW w:w="2000" w:type="dxa"/>
          </w:tcPr>
          <w:p>
            <w:pPr>
              <w:jc w:val="center"/>
            </w:pPr>
            <w:r>
              <w:rPr/>
              <w:t xml:space="preserve">Nutné</w:t>
            </w:r>
          </w:p>
        </w:tc>
      </w:tr>
      <w:tr>
        <w:trPr/>
        <w:tc>
          <w:tcPr>
            <w:tcW w:w="2000" w:type="dxa"/>
          </w:tcPr>
          <w:p>
            <w:pPr>
              <w:jc w:val="center"/>
            </w:pPr>
            <w:r>
              <w:rPr/>
              <w:t xml:space="preserve">j14._.0021</w:t>
            </w:r>
          </w:p>
        </w:tc>
        <w:tc>
          <w:tcPr>
            <w:tcW w:w="3000" w:type="dxa"/>
          </w:tcPr>
          <w:p>
            <w:pPr/>
            <w:r>
              <w:rPr/>
              <w:t xml:space="preserve">analytická chemie</w:t>
            </w:r>
          </w:p>
        </w:tc>
        <w:tc>
          <w:tcPr>
            <w:tcW w:w="2000" w:type="dxa"/>
          </w:tcPr>
          <w:p>
            <w:pPr>
              <w:jc w:val="center"/>
            </w:pPr>
            <w:r>
              <w:rPr/>
              <w:t xml:space="preserve">4</w:t>
            </w:r>
          </w:p>
        </w:tc>
        <w:tc>
          <w:tcPr>
            <w:tcW w:w="2000" w:type="dxa"/>
          </w:tcPr>
          <w:p>
            <w:pPr>
              <w:jc w:val="center"/>
            </w:pPr>
            <w:r>
              <w:rPr/>
              <w:t xml:space="preserve">Nutné</w:t>
            </w:r>
          </w:p>
        </w:tc>
      </w:tr>
      <w:tr>
        <w:trPr/>
        <w:tc>
          <w:tcPr>
            <w:tcW w:w="2000" w:type="dxa"/>
          </w:tcPr>
          <w:p>
            <w:pPr>
              <w:jc w:val="center"/>
            </w:pPr>
            <w:r>
              <w:rPr/>
              <w:t xml:space="preserve">j14._.0031</w:t>
            </w:r>
          </w:p>
        </w:tc>
        <w:tc>
          <w:tcPr>
            <w:tcW w:w="3000" w:type="dxa"/>
          </w:tcPr>
          <w:p>
            <w:pPr/>
            <w:r>
              <w:rPr/>
              <w:t xml:space="preserve">chemická metrologie</w:t>
            </w:r>
          </w:p>
        </w:tc>
        <w:tc>
          <w:tcPr>
            <w:tcW w:w="2000" w:type="dxa"/>
          </w:tcPr>
          <w:p>
            <w:pPr>
              <w:jc w:val="center"/>
            </w:pPr>
            <w:r>
              <w:rPr/>
              <w:t xml:space="preserve">4</w:t>
            </w:r>
          </w:p>
        </w:tc>
        <w:tc>
          <w:tcPr>
            <w:tcW w:w="2000" w:type="dxa"/>
          </w:tcPr>
          <w:p>
            <w:pPr>
              <w:jc w:val="center"/>
            </w:pPr>
            <w:r>
              <w:rPr/>
              <w:t xml:space="preserve">Nutné</w:t>
            </w:r>
          </w:p>
        </w:tc>
      </w:tr>
      <w:tr>
        <w:trPr/>
        <w:tc>
          <w:tcPr>
            <w:tcW w:w="2000" w:type="dxa"/>
          </w:tcPr>
          <w:p>
            <w:pPr>
              <w:jc w:val="center"/>
            </w:pPr>
            <w:r>
              <w:rPr/>
              <w:t xml:space="preserve">e52._.0001</w:t>
            </w:r>
          </w:p>
        </w:tc>
        <w:tc>
          <w:tcPr>
            <w:tcW w:w="3000" w:type="dxa"/>
          </w:tcPr>
          <w:p>
            <w:pPr/>
            <w:r>
              <w:rPr/>
              <w:t xml:space="preserve">základy chemických technologií, základní druhy strojů, zařízení a surovin</w:t>
            </w:r>
          </w:p>
        </w:tc>
        <w:tc>
          <w:tcPr>
            <w:tcW w:w="2000" w:type="dxa"/>
          </w:tcPr>
          <w:p>
            <w:pPr>
              <w:jc w:val="center"/>
            </w:pPr>
            <w:r>
              <w:rPr/>
              <w:t xml:space="preserve">4</w:t>
            </w:r>
          </w:p>
        </w:tc>
        <w:tc>
          <w:tcPr>
            <w:tcW w:w="2000" w:type="dxa"/>
          </w:tcPr>
          <w:p>
            <w:pPr>
              <w:jc w:val="center"/>
            </w:pPr>
            <w:r>
              <w:rPr/>
              <w:t xml:space="preserve">Nutné</w:t>
            </w:r>
          </w:p>
        </w:tc>
      </w:tr>
      <w:tr>
        <w:trPr/>
        <w:tc>
          <w:tcPr>
            <w:tcW w:w="2000" w:type="dxa"/>
          </w:tcPr>
          <w:p>
            <w:pPr>
              <w:jc w:val="center"/>
            </w:pPr>
            <w:r>
              <w:rPr/>
              <w:t xml:space="preserve">e52._.0002</w:t>
            </w:r>
          </w:p>
        </w:tc>
        <w:tc>
          <w:tcPr>
            <w:tcW w:w="3000" w:type="dxa"/>
          </w:tcPr>
          <w:p>
            <w:pPr/>
            <w:r>
              <w:rPr/>
              <w:t xml:space="preserve">laboratorní technika a laboratorní postupy v chemii</w:t>
            </w:r>
          </w:p>
        </w:tc>
        <w:tc>
          <w:tcPr>
            <w:tcW w:w="2000" w:type="dxa"/>
          </w:tcPr>
          <w:p>
            <w:pPr>
              <w:jc w:val="center"/>
            </w:pPr>
            <w:r>
              <w:rPr/>
              <w:t xml:space="preserve">4</w:t>
            </w:r>
          </w:p>
        </w:tc>
        <w:tc>
          <w:tcPr>
            <w:tcW w:w="2000" w:type="dxa"/>
          </w:tcPr>
          <w:p>
            <w:pPr>
              <w:jc w:val="center"/>
            </w:pPr>
            <w:r>
              <w:rPr/>
              <w:t xml:space="preserve">Nutné</w:t>
            </w:r>
          </w:p>
        </w:tc>
      </w:tr>
      <w:tr>
        <w:trPr/>
        <w:tc>
          <w:tcPr>
            <w:tcW w:w="2000" w:type="dxa"/>
          </w:tcPr>
          <w:p>
            <w:pPr>
              <w:jc w:val="center"/>
            </w:pPr>
            <w:r>
              <w:rPr/>
              <w:t xml:space="preserve">e54._.0011</w:t>
            </w:r>
          </w:p>
        </w:tc>
        <w:tc>
          <w:tcPr>
            <w:tcW w:w="3000" w:type="dxa"/>
          </w:tcPr>
          <w:p>
            <w:pPr/>
            <w:r>
              <w:rPr/>
              <w:t xml:space="preserve">technologie výroby plastových materiálů a výrobků</w:t>
            </w:r>
          </w:p>
        </w:tc>
        <w:tc>
          <w:tcPr>
            <w:tcW w:w="2000" w:type="dxa"/>
          </w:tcPr>
          <w:p>
            <w:pPr>
              <w:jc w:val="center"/>
            </w:pPr>
            <w:r>
              <w:rPr/>
              <w:t xml:space="preserve">4</w:t>
            </w:r>
          </w:p>
        </w:tc>
        <w:tc>
          <w:tcPr>
            <w:tcW w:w="2000" w:type="dxa"/>
          </w:tcPr>
          <w:p>
            <w:pPr>
              <w:jc w:val="center"/>
            </w:pPr>
            <w:r>
              <w:rPr/>
              <w:t xml:space="preserve">Výhodné</w:t>
            </w:r>
          </w:p>
        </w:tc>
      </w:tr>
      <w:tr>
        <w:trPr/>
        <w:tc>
          <w:tcPr>
            <w:tcW w:w="2000" w:type="dxa"/>
          </w:tcPr>
          <w:p>
            <w:pPr>
              <w:jc w:val="center"/>
            </w:pPr>
            <w:r>
              <w:rPr/>
              <w:t xml:space="preserve">e53._.0013</w:t>
            </w:r>
          </w:p>
        </w:tc>
        <w:tc>
          <w:tcPr>
            <w:tcW w:w="3000" w:type="dxa"/>
          </w:tcPr>
          <w:p>
            <w:pPr/>
            <w:r>
              <w:rPr/>
              <w:t xml:space="preserve">technologie výroby farmaceutik</w:t>
            </w:r>
          </w:p>
        </w:tc>
        <w:tc>
          <w:tcPr>
            <w:tcW w:w="2000" w:type="dxa"/>
          </w:tcPr>
          <w:p>
            <w:pPr>
              <w:jc w:val="center"/>
            </w:pPr>
            <w:r>
              <w:rPr/>
              <w:t xml:space="preserve">4</w:t>
            </w:r>
          </w:p>
        </w:tc>
        <w:tc>
          <w:tcPr>
            <w:tcW w:w="2000" w:type="dxa"/>
          </w:tcPr>
          <w:p>
            <w:pPr>
              <w:jc w:val="center"/>
            </w:pPr>
            <w:r>
              <w:rPr/>
              <w:t xml:space="preserve">Výhodné</w:t>
            </w:r>
          </w:p>
        </w:tc>
      </w:tr>
      <w:tr>
        <w:trPr/>
        <w:tc>
          <w:tcPr>
            <w:tcW w:w="2000" w:type="dxa"/>
          </w:tcPr>
          <w:p>
            <w:pPr>
              <w:jc w:val="center"/>
            </w:pPr>
            <w:r>
              <w:rPr/>
              <w:t xml:space="preserve">e52._.0031</w:t>
            </w:r>
          </w:p>
        </w:tc>
        <w:tc>
          <w:tcPr>
            <w:tcW w:w="3000" w:type="dxa"/>
          </w:tcPr>
          <w:p>
            <w:pPr/>
            <w:r>
              <w:rPr/>
              <w:t xml:space="preserve">zacházení s nebezpečnými chemickými látkami a přípravky</w:t>
            </w:r>
          </w:p>
        </w:tc>
        <w:tc>
          <w:tcPr>
            <w:tcW w:w="2000" w:type="dxa"/>
          </w:tcPr>
          <w:p>
            <w:pPr>
              <w:jc w:val="center"/>
            </w:pPr>
            <w:r>
              <w:rPr/>
              <w:t xml:space="preserve">4</w:t>
            </w:r>
          </w:p>
        </w:tc>
        <w:tc>
          <w:tcPr>
            <w:tcW w:w="2000" w:type="dxa"/>
          </w:tcPr>
          <w:p>
            <w:pPr>
              <w:jc w:val="center"/>
            </w:pPr>
            <w:r>
              <w:rPr/>
              <w:t xml:space="preserve">Nutné</w:t>
            </w:r>
          </w:p>
        </w:tc>
      </w:tr>
      <w:tr>
        <w:trPr/>
        <w:tc>
          <w:tcPr>
            <w:tcW w:w="2000" w:type="dxa"/>
          </w:tcPr>
          <w:p>
            <w:pPr>
              <w:jc w:val="center"/>
            </w:pPr>
            <w:r>
              <w:rPr/>
              <w:t xml:space="preserve">i51._.0013</w:t>
            </w:r>
          </w:p>
        </w:tc>
        <w:tc>
          <w:tcPr>
            <w:tcW w:w="3000" w:type="dxa"/>
          </w:tcPr>
          <w:p>
            <w:pPr/>
            <w:r>
              <w:rPr/>
              <w:t xml:space="preserve">management pro střední manažery</w:t>
            </w:r>
          </w:p>
        </w:tc>
        <w:tc>
          <w:tcPr>
            <w:tcW w:w="2000" w:type="dxa"/>
          </w:tcPr>
          <w:p>
            <w:pPr>
              <w:jc w:val="center"/>
            </w:pPr>
            <w:r>
              <w:rPr/>
              <w:t xml:space="preserve">4</w:t>
            </w:r>
          </w:p>
        </w:tc>
        <w:tc>
          <w:tcPr>
            <w:tcW w:w="2000" w:type="dxa"/>
          </w:tcPr>
          <w:p>
            <w:pPr>
              <w:jc w:val="center"/>
            </w:pPr>
            <w:r>
              <w:rPr/>
              <w:t xml:space="preserve">Nutné</w:t>
            </w:r>
          </w:p>
        </w:tc>
      </w:tr>
      <w:tr>
        <w:trPr/>
        <w:tc>
          <w:tcPr>
            <w:tcW w:w="2000" w:type="dxa"/>
          </w:tcPr>
          <w:p>
            <w:pPr>
              <w:jc w:val="center"/>
            </w:pPr>
            <w:r>
              <w:rPr/>
              <w:t xml:space="preserve">i54._.0023</w:t>
            </w:r>
          </w:p>
        </w:tc>
        <w:tc>
          <w:tcPr>
            <w:tcW w:w="3000" w:type="dxa"/>
          </w:tcPr>
          <w:p>
            <w:pPr/>
            <w:r>
              <w:rPr/>
              <w:t xml:space="preserve">management kvality</w:t>
            </w:r>
          </w:p>
        </w:tc>
        <w:tc>
          <w:tcPr>
            <w:tcW w:w="2000" w:type="dxa"/>
          </w:tcPr>
          <w:p>
            <w:pPr>
              <w:jc w:val="center"/>
            </w:pPr>
            <w:r>
              <w:rPr/>
              <w:t xml:space="preserve">4</w:t>
            </w:r>
          </w:p>
        </w:tc>
        <w:tc>
          <w:tcPr>
            <w:tcW w:w="2000" w:type="dxa"/>
          </w:tcPr>
          <w:p>
            <w:pPr>
              <w:jc w:val="center"/>
            </w:pPr>
            <w:r>
              <w:rPr/>
              <w:t xml:space="preserve">Nutné</w:t>
            </w:r>
          </w:p>
        </w:tc>
      </w:tr>
      <w:tr>
        <w:trPr/>
        <w:tc>
          <w:tcPr>
            <w:tcW w:w="2000" w:type="dxa"/>
          </w:tcPr>
          <w:p>
            <w:pPr>
              <w:jc w:val="center"/>
            </w:pPr>
            <w:r>
              <w:rPr/>
              <w:t xml:space="preserve">e51._.0004</w:t>
            </w:r>
          </w:p>
        </w:tc>
        <w:tc>
          <w:tcPr>
            <w:tcW w:w="3000" w:type="dxa"/>
          </w:tcPr>
          <w:p>
            <w:pPr/>
            <w:r>
              <w:rPr/>
              <w:t xml:space="preserve">technologie výroby výbušin</w:t>
            </w:r>
          </w:p>
        </w:tc>
        <w:tc>
          <w:tcPr>
            <w:tcW w:w="2000" w:type="dxa"/>
          </w:tcPr>
          <w:p>
            <w:pPr>
              <w:jc w:val="center"/>
            </w:pPr>
            <w:r>
              <w:rPr/>
              <w:t xml:space="preserve">4</w:t>
            </w:r>
          </w:p>
        </w:tc>
        <w:tc>
          <w:tcPr>
            <w:tcW w:w="2000" w:type="dxa"/>
          </w:tcPr>
          <w:p>
            <w:pPr>
              <w:jc w:val="center"/>
            </w:pPr>
            <w:r>
              <w:rPr/>
              <w:t xml:space="preserve">Výhodné</w:t>
            </w:r>
          </w:p>
        </w:tc>
      </w:tr>
      <w:tr>
        <w:trPr/>
        <w:tc>
          <w:tcPr>
            <w:tcW w:w="2000" w:type="dxa"/>
          </w:tcPr>
          <w:p>
            <w:pPr>
              <w:jc w:val="center"/>
            </w:pPr>
            <w:r>
              <w:rPr/>
              <w:t xml:space="preserve">e54._.0022</w:t>
            </w:r>
          </w:p>
        </w:tc>
        <w:tc>
          <w:tcPr>
            <w:tcW w:w="3000" w:type="dxa"/>
          </w:tcPr>
          <w:p>
            <w:pPr/>
            <w:r>
              <w:rPr/>
              <w:t xml:space="preserve">technologie výroby gumárenských výrobků</w:t>
            </w:r>
          </w:p>
        </w:tc>
        <w:tc>
          <w:tcPr>
            <w:tcW w:w="2000" w:type="dxa"/>
          </w:tcPr>
          <w:p>
            <w:pPr>
              <w:jc w:val="center"/>
            </w:pPr>
            <w:r>
              <w:rPr/>
              <w:t xml:space="preserve">4</w:t>
            </w:r>
          </w:p>
        </w:tc>
        <w:tc>
          <w:tcPr>
            <w:tcW w:w="2000" w:type="dxa"/>
          </w:tcPr>
          <w:p>
            <w:pPr>
              <w:jc w:val="center"/>
            </w:pPr>
            <w:r>
              <w:rPr/>
              <w:t xml:space="preserve">Výhodné</w:t>
            </w:r>
          </w:p>
        </w:tc>
      </w:tr>
      <w:tr>
        <w:trPr/>
        <w:tc>
          <w:tcPr>
            <w:tcW w:w="2000" w:type="dxa"/>
          </w:tcPr>
          <w:p>
            <w:pPr>
              <w:jc w:val="center"/>
            </w:pPr>
            <w:r>
              <w:rPr/>
              <w:t xml:space="preserve">e52._.0061</w:t>
            </w:r>
          </w:p>
        </w:tc>
        <w:tc>
          <w:tcPr>
            <w:tcW w:w="3000" w:type="dxa"/>
          </w:tcPr>
          <w:p>
            <w:pPr/>
            <w:r>
              <w:rPr/>
              <w:t xml:space="preserve">systémy a standardy jakosti a kvality v chemické výrobě</w:t>
            </w:r>
          </w:p>
        </w:tc>
        <w:tc>
          <w:tcPr>
            <w:tcW w:w="2000" w:type="dxa"/>
          </w:tcPr>
          <w:p>
            <w:pPr>
              <w:jc w:val="center"/>
            </w:pPr>
            <w:r>
              <w:rPr/>
              <w:t xml:space="preserve">4</w:t>
            </w:r>
          </w:p>
        </w:tc>
        <w:tc>
          <w:tcPr>
            <w:tcW w:w="2000" w:type="dxa"/>
          </w:tcPr>
          <w:p>
            <w:pPr>
              <w:jc w:val="center"/>
            </w:pPr>
            <w:r>
              <w:rPr/>
              <w:t xml:space="preserve">Nutné</w:t>
            </w:r>
          </w:p>
        </w:tc>
      </w:tr>
      <w:tr>
        <w:trPr/>
        <w:tc>
          <w:tcPr>
            <w:tcW w:w="2000" w:type="dxa"/>
          </w:tcPr>
          <w:p>
            <w:pPr>
              <w:jc w:val="center"/>
            </w:pPr>
            <w:r>
              <w:rPr/>
              <w:t xml:space="preserve">e52._.0036</w:t>
            </w:r>
          </w:p>
        </w:tc>
        <w:tc>
          <w:tcPr>
            <w:tcW w:w="3000" w:type="dxa"/>
          </w:tcPr>
          <w:p>
            <w:pPr/>
            <w:r>
              <w:rPr/>
              <w:t xml:space="preserve">management chemických látek</w:t>
            </w:r>
          </w:p>
        </w:tc>
        <w:tc>
          <w:tcPr>
            <w:tcW w:w="2000" w:type="dxa"/>
          </w:tcPr>
          <w:p>
            <w:pPr>
              <w:jc w:val="center"/>
            </w:pPr>
            <w:r>
              <w:rPr/>
              <w:t xml:space="preserve">4</w:t>
            </w:r>
          </w:p>
        </w:tc>
        <w:tc>
          <w:tcPr>
            <w:tcW w:w="2000" w:type="dxa"/>
          </w:tcPr>
          <w:p>
            <w:pPr>
              <w:jc w:val="center"/>
            </w:pPr>
            <w:r>
              <w:rPr/>
              <w:t xml:space="preserve">Výhodné</w:t>
            </w:r>
          </w:p>
        </w:tc>
      </w:tr>
      <w:tr>
        <w:trPr/>
        <w:tc>
          <w:tcPr>
            <w:tcW w:w="2000" w:type="dxa"/>
          </w:tcPr>
          <w:p>
            <w:pPr>
              <w:jc w:val="center"/>
            </w:pPr>
            <w:r>
              <w:rPr/>
              <w:t xml:space="preserve">i53._.0045</w:t>
            </w:r>
          </w:p>
        </w:tc>
        <w:tc>
          <w:tcPr>
            <w:tcW w:w="3000" w:type="dxa"/>
          </w:tcPr>
          <w:p>
            <w:pPr/>
            <w:r>
              <w:rPr/>
              <w:t xml:space="preserve">management průmyslových procesů</w:t>
            </w:r>
          </w:p>
        </w:tc>
        <w:tc>
          <w:tcPr>
            <w:tcW w:w="2000" w:type="dxa"/>
          </w:tcPr>
          <w:p>
            <w:pPr>
              <w:jc w:val="center"/>
            </w:pPr>
            <w:r>
              <w:rPr/>
              <w:t xml:space="preserve">4</w:t>
            </w:r>
          </w:p>
        </w:tc>
        <w:tc>
          <w:tcPr>
            <w:tcW w:w="2000" w:type="dxa"/>
          </w:tcPr>
          <w:p>
            <w:pPr>
              <w:jc w:val="center"/>
            </w:pPr>
            <w:r>
              <w:rPr/>
              <w:t xml:space="preserve">Výhodné</w:t>
            </w:r>
          </w:p>
        </w:tc>
      </w:tr>
    </w:tbl>
    <w:p>
      <w:pPr/>
      <w:r>
        <w:rPr>
          <w:sz w:val="16"/>
          <w:szCs w:val="16"/>
          <w:i w:val="1"/>
          <w:iCs w:val="1"/>
        </w:rPr>
        <w:t xml:space="preserve">Popisy úrovní naleznete zde: https://nsp.cz/downloads/Priloha_c2_manualu.pdf</w:t>
      </w:r>
    </w:p>
    <w:p/>
    <w:p>
      <w:pPr>
        <w:pStyle w:val="Heading3"/>
      </w:pPr>
      <w:bookmarkStart w:id="18" w:name="_Toc18"/>
      <w:r>
        <w:t>Digitální kompetence</w:t>
      </w:r>
      <w:bookmarkEnd w:id="18"/>
    </w:p>
    <w:tbl>
      <w:tblGrid>
        <w:gridCol w:w="2000" w:type="dxa"/>
        <w:gridCol w:w="5000" w:type="dxa"/>
        <w:gridCol w:w="2000" w:type="dxa"/>
      </w:tblGrid>
      <w:tblPr>
        <w:jc w:val="start"/>
        <w:tblW w:w="0" w:type="auto"/>
        <w:tblCellSpacing w:w="50" w:type="dxa"/>
        <w:tblLayout w:type="autofit"/>
        <w:bidiVisual w:val="0"/>
        <w:tblCellMar>
          <w:top w:w="80" w:type="dxa"/>
          <w:left w:w="80" w:type="dxa"/>
          <w:right w:w="80" w:type="dxa"/>
          <w:bottom w:w="80" w:type="dxa"/>
        </w:tblCellMar>
      </w:tblPr>
      <w:tr>
        <w:trPr/>
        <w:tc>
          <w:tcPr>
            <w:tcW w:w="2000" w:type="dxa"/>
          </w:tcPr>
          <w:p>
            <w:pPr>
              <w:jc w:val="center"/>
            </w:pPr>
            <w:r>
              <w:rPr>
                <w:b w:val="1"/>
                <w:bCs w:val="1"/>
              </w:rPr>
              <w:t xml:space="preserve">Kód</w:t>
            </w:r>
          </w:p>
        </w:tc>
        <w:tc>
          <w:tcPr>
            <w:tcW w:w="5000" w:type="dxa"/>
          </w:tcPr>
          <w:p>
            <w:pPr>
              <w:jc w:val="center"/>
            </w:pPr>
            <w:r>
              <w:rPr>
                <w:b w:val="1"/>
                <w:bCs w:val="1"/>
              </w:rPr>
              <w:t xml:space="preserve">Název</w:t>
            </w:r>
          </w:p>
        </w:tc>
        <w:tc>
          <w:tcPr>
            <w:tcW w:w="2000" w:type="dxa"/>
          </w:tcPr>
          <w:p>
            <w:pPr>
              <w:jc w:val="center"/>
            </w:pPr>
            <w:r>
              <w:rPr>
                <w:b w:val="1"/>
                <w:bCs w:val="1"/>
              </w:rPr>
              <w:t xml:space="preserve">Úroveň 1-4</w:t>
            </w:r>
          </w:p>
        </w:tc>
      </w:tr>
      <w:tr>
        <w:trPr/>
        <w:tc>
          <w:tcPr>
            <w:tcW w:w="2000" w:type="dxa"/>
          </w:tcPr>
          <w:p>
            <w:pPr>
              <w:jc w:val="center"/>
            </w:pPr>
            <w:r>
              <w:rPr/>
              <w:t xml:space="preserve">1.1</w:t>
            </w:r>
          </w:p>
        </w:tc>
        <w:tc>
          <w:tcPr>
            <w:tcW w:w="5000" w:type="dxa"/>
          </w:tcPr>
          <w:p>
            <w:pPr/>
            <w:r>
              <w:rPr/>
              <w:t xml:space="preserve">Prohlížení, vyhledávání a filtrování dat, informací a digitálního obsahu  </w:t>
            </w:r>
          </w:p>
        </w:tc>
        <w:tc>
          <w:tcPr>
            <w:tcW w:w="2000" w:type="dxa"/>
          </w:tcPr>
          <w:p>
            <w:pPr>
              <w:jc w:val="center"/>
            </w:pPr>
            <w:r>
              <w:rPr/>
              <w:t xml:space="preserve">2</w:t>
            </w:r>
          </w:p>
        </w:tc>
      </w:tr>
      <w:tr>
        <w:trPr/>
        <w:tc>
          <w:tcPr>
            <w:tcW w:w="2000" w:type="dxa"/>
          </w:tcPr>
          <w:p>
            <w:pPr>
              <w:jc w:val="center"/>
            </w:pPr>
            <w:r>
              <w:rPr/>
              <w:t xml:space="preserve">5.3</w:t>
            </w:r>
          </w:p>
        </w:tc>
        <w:tc>
          <w:tcPr>
            <w:tcW w:w="5000" w:type="dxa"/>
          </w:tcPr>
          <w:p>
            <w:pPr/>
            <w:r>
              <w:rPr/>
              <w:t xml:space="preserve">Kreativní využívání digitálních technologií  </w:t>
            </w:r>
          </w:p>
        </w:tc>
        <w:tc>
          <w:tcPr>
            <w:tcW w:w="2000" w:type="dxa"/>
          </w:tcPr>
          <w:p>
            <w:pPr>
              <w:jc w:val="center"/>
            </w:pPr>
            <w:r>
              <w:rPr/>
              <w:t xml:space="preserve">1</w:t>
            </w:r>
          </w:p>
        </w:tc>
      </w:tr>
      <w:tr>
        <w:trPr/>
        <w:tc>
          <w:tcPr>
            <w:tcW w:w="2000" w:type="dxa"/>
          </w:tcPr>
          <w:p>
            <w:pPr>
              <w:jc w:val="center"/>
            </w:pPr>
            <w:r>
              <w:rPr/>
              <w:t xml:space="preserve">5.2</w:t>
            </w:r>
          </w:p>
        </w:tc>
        <w:tc>
          <w:tcPr>
            <w:tcW w:w="5000" w:type="dxa"/>
          </w:tcPr>
          <w:p>
            <w:pPr/>
            <w:r>
              <w:rPr/>
              <w:t xml:space="preserve">Identifikace potřeb a výběr vhodných technologií  </w:t>
            </w:r>
          </w:p>
        </w:tc>
        <w:tc>
          <w:tcPr>
            <w:tcW w:w="2000" w:type="dxa"/>
          </w:tcPr>
          <w:p>
            <w:pPr>
              <w:jc w:val="center"/>
            </w:pPr>
            <w:r>
              <w:rPr/>
              <w:t xml:space="preserve">2</w:t>
            </w:r>
          </w:p>
        </w:tc>
      </w:tr>
      <w:tr>
        <w:trPr/>
        <w:tc>
          <w:tcPr>
            <w:tcW w:w="2000" w:type="dxa"/>
          </w:tcPr>
          <w:p>
            <w:pPr>
              <w:jc w:val="center"/>
            </w:pPr>
            <w:r>
              <w:rPr/>
              <w:t xml:space="preserve">5.1</w:t>
            </w:r>
          </w:p>
        </w:tc>
        <w:tc>
          <w:tcPr>
            <w:tcW w:w="5000" w:type="dxa"/>
          </w:tcPr>
          <w:p>
            <w:pPr/>
            <w:r>
              <w:rPr/>
              <w:t xml:space="preserve">Řešení technických problémů  </w:t>
            </w:r>
          </w:p>
        </w:tc>
        <w:tc>
          <w:tcPr>
            <w:tcW w:w="2000" w:type="dxa"/>
          </w:tcPr>
          <w:p>
            <w:pPr>
              <w:jc w:val="center"/>
            </w:pPr>
            <w:r>
              <w:rPr/>
              <w:t xml:space="preserve">2</w:t>
            </w:r>
          </w:p>
        </w:tc>
      </w:tr>
      <w:tr>
        <w:trPr/>
        <w:tc>
          <w:tcPr>
            <w:tcW w:w="2000" w:type="dxa"/>
          </w:tcPr>
          <w:p>
            <w:pPr>
              <w:jc w:val="center"/>
            </w:pPr>
            <w:r>
              <w:rPr/>
              <w:t xml:space="preserve">4.4</w:t>
            </w:r>
          </w:p>
        </w:tc>
        <w:tc>
          <w:tcPr>
            <w:tcW w:w="5000" w:type="dxa"/>
          </w:tcPr>
          <w:p>
            <w:pPr/>
            <w:r>
              <w:rPr/>
              <w:t xml:space="preserve">Ochrana životního prostředí  </w:t>
            </w:r>
          </w:p>
        </w:tc>
        <w:tc>
          <w:tcPr>
            <w:tcW w:w="2000" w:type="dxa"/>
          </w:tcPr>
          <w:p>
            <w:pPr>
              <w:jc w:val="center"/>
            </w:pPr>
            <w:r>
              <w:rPr/>
              <w:t xml:space="preserve">2</w:t>
            </w:r>
          </w:p>
        </w:tc>
      </w:tr>
      <w:tr>
        <w:trPr/>
        <w:tc>
          <w:tcPr>
            <w:tcW w:w="2000" w:type="dxa"/>
          </w:tcPr>
          <w:p>
            <w:pPr>
              <w:jc w:val="center"/>
            </w:pPr>
            <w:r>
              <w:rPr/>
              <w:t xml:space="preserve">4.3</w:t>
            </w:r>
          </w:p>
        </w:tc>
        <w:tc>
          <w:tcPr>
            <w:tcW w:w="5000" w:type="dxa"/>
          </w:tcPr>
          <w:p>
            <w:pPr/>
            <w:r>
              <w:rPr/>
              <w:t xml:space="preserve">Ochrana zdraví a duševní pohody  </w:t>
            </w:r>
          </w:p>
        </w:tc>
        <w:tc>
          <w:tcPr>
            <w:tcW w:w="2000" w:type="dxa"/>
          </w:tcPr>
          <w:p>
            <w:pPr>
              <w:jc w:val="center"/>
            </w:pPr>
            <w:r>
              <w:rPr/>
              <w:t xml:space="preserve">2</w:t>
            </w:r>
          </w:p>
        </w:tc>
      </w:tr>
      <w:tr>
        <w:trPr/>
        <w:tc>
          <w:tcPr>
            <w:tcW w:w="2000" w:type="dxa"/>
          </w:tcPr>
          <w:p>
            <w:pPr>
              <w:jc w:val="center"/>
            </w:pPr>
            <w:r>
              <w:rPr/>
              <w:t xml:space="preserve">4.2</w:t>
            </w:r>
          </w:p>
        </w:tc>
        <w:tc>
          <w:tcPr>
            <w:tcW w:w="5000" w:type="dxa"/>
          </w:tcPr>
          <w:p>
            <w:pPr/>
            <w:r>
              <w:rPr/>
              <w:t xml:space="preserve">Ochrana osobních dat a soukromí  </w:t>
            </w:r>
          </w:p>
        </w:tc>
        <w:tc>
          <w:tcPr>
            <w:tcW w:w="2000" w:type="dxa"/>
          </w:tcPr>
          <w:p>
            <w:pPr>
              <w:jc w:val="center"/>
            </w:pPr>
            <w:r>
              <w:rPr/>
              <w:t xml:space="preserve">2</w:t>
            </w:r>
          </w:p>
        </w:tc>
      </w:tr>
      <w:tr>
        <w:trPr/>
        <w:tc>
          <w:tcPr>
            <w:tcW w:w="2000" w:type="dxa"/>
          </w:tcPr>
          <w:p>
            <w:pPr>
              <w:jc w:val="center"/>
            </w:pPr>
            <w:r>
              <w:rPr/>
              <w:t xml:space="preserve">4.1</w:t>
            </w:r>
          </w:p>
        </w:tc>
        <w:tc>
          <w:tcPr>
            <w:tcW w:w="5000" w:type="dxa"/>
          </w:tcPr>
          <w:p>
            <w:pPr/>
            <w:r>
              <w:rPr/>
              <w:t xml:space="preserve">Ochrana zařízení  </w:t>
            </w:r>
          </w:p>
        </w:tc>
        <w:tc>
          <w:tcPr>
            <w:tcW w:w="2000" w:type="dxa"/>
          </w:tcPr>
          <w:p>
            <w:pPr>
              <w:jc w:val="center"/>
            </w:pPr>
            <w:r>
              <w:rPr/>
              <w:t xml:space="preserve">2</w:t>
            </w:r>
          </w:p>
        </w:tc>
      </w:tr>
      <w:tr>
        <w:trPr/>
        <w:tc>
          <w:tcPr>
            <w:tcW w:w="2000" w:type="dxa"/>
          </w:tcPr>
          <w:p>
            <w:pPr>
              <w:jc w:val="center"/>
            </w:pPr>
            <w:r>
              <w:rPr/>
              <w:t xml:space="preserve">3.3</w:t>
            </w:r>
          </w:p>
        </w:tc>
        <w:tc>
          <w:tcPr>
            <w:tcW w:w="5000" w:type="dxa"/>
          </w:tcPr>
          <w:p>
            <w:pPr/>
            <w:r>
              <w:rPr/>
              <w:t xml:space="preserve">Autorská práva a licence  </w:t>
            </w:r>
          </w:p>
        </w:tc>
        <w:tc>
          <w:tcPr>
            <w:tcW w:w="2000" w:type="dxa"/>
          </w:tcPr>
          <w:p>
            <w:pPr>
              <w:jc w:val="center"/>
            </w:pPr>
            <w:r>
              <w:rPr/>
              <w:t xml:space="preserve">2</w:t>
            </w:r>
          </w:p>
        </w:tc>
      </w:tr>
      <w:tr>
        <w:trPr/>
        <w:tc>
          <w:tcPr>
            <w:tcW w:w="2000" w:type="dxa"/>
          </w:tcPr>
          <w:p>
            <w:pPr>
              <w:jc w:val="center"/>
            </w:pPr>
            <w:r>
              <w:rPr/>
              <w:t xml:space="preserve">3.2</w:t>
            </w:r>
          </w:p>
        </w:tc>
        <w:tc>
          <w:tcPr>
            <w:tcW w:w="5000" w:type="dxa"/>
          </w:tcPr>
          <w:p>
            <w:pPr/>
            <w:r>
              <w:rPr/>
              <w:t xml:space="preserve">Integrace a přepracování digitálního obsahu  </w:t>
            </w:r>
          </w:p>
        </w:tc>
        <w:tc>
          <w:tcPr>
            <w:tcW w:w="2000" w:type="dxa"/>
          </w:tcPr>
          <w:p>
            <w:pPr>
              <w:jc w:val="center"/>
            </w:pPr>
            <w:r>
              <w:rPr/>
              <w:t xml:space="preserve">2</w:t>
            </w:r>
          </w:p>
        </w:tc>
      </w:tr>
      <w:tr>
        <w:trPr/>
        <w:tc>
          <w:tcPr>
            <w:tcW w:w="2000" w:type="dxa"/>
          </w:tcPr>
          <w:p>
            <w:pPr>
              <w:jc w:val="center"/>
            </w:pPr>
            <w:r>
              <w:rPr/>
              <w:t xml:space="preserve">3.1</w:t>
            </w:r>
          </w:p>
        </w:tc>
        <w:tc>
          <w:tcPr>
            <w:tcW w:w="5000" w:type="dxa"/>
          </w:tcPr>
          <w:p>
            <w:pPr/>
            <w:r>
              <w:rPr/>
              <w:t xml:space="preserve">Tvorba digitálního obsahu  </w:t>
            </w:r>
          </w:p>
        </w:tc>
        <w:tc>
          <w:tcPr>
            <w:tcW w:w="2000" w:type="dxa"/>
          </w:tcPr>
          <w:p>
            <w:pPr>
              <w:jc w:val="center"/>
            </w:pPr>
            <w:r>
              <w:rPr/>
              <w:t xml:space="preserve">2</w:t>
            </w:r>
          </w:p>
        </w:tc>
      </w:tr>
      <w:tr>
        <w:trPr/>
        <w:tc>
          <w:tcPr>
            <w:tcW w:w="2000" w:type="dxa"/>
          </w:tcPr>
          <w:p>
            <w:pPr>
              <w:jc w:val="center"/>
            </w:pPr>
            <w:r>
              <w:rPr/>
              <w:t xml:space="preserve">2.5</w:t>
            </w:r>
          </w:p>
        </w:tc>
        <w:tc>
          <w:tcPr>
            <w:tcW w:w="5000" w:type="dxa"/>
          </w:tcPr>
          <w:p>
            <w:pPr/>
            <w:r>
              <w:rPr/>
              <w:t xml:space="preserve">Netiketa  </w:t>
            </w:r>
          </w:p>
        </w:tc>
        <w:tc>
          <w:tcPr>
            <w:tcW w:w="2000" w:type="dxa"/>
          </w:tcPr>
          <w:p>
            <w:pPr>
              <w:jc w:val="center"/>
            </w:pPr>
            <w:r>
              <w:rPr/>
              <w:t xml:space="preserve">2</w:t>
            </w:r>
          </w:p>
        </w:tc>
      </w:tr>
      <w:tr>
        <w:trPr/>
        <w:tc>
          <w:tcPr>
            <w:tcW w:w="2000" w:type="dxa"/>
          </w:tcPr>
          <w:p>
            <w:pPr>
              <w:jc w:val="center"/>
            </w:pPr>
            <w:r>
              <w:rPr/>
              <w:t xml:space="preserve">2.4</w:t>
            </w:r>
          </w:p>
        </w:tc>
        <w:tc>
          <w:tcPr>
            <w:tcW w:w="5000" w:type="dxa"/>
          </w:tcPr>
          <w:p>
            <w:pPr/>
            <w:r>
              <w:rPr/>
              <w:t xml:space="preserve">Spolupráce prostřednictvím digitálních technologií  </w:t>
            </w:r>
          </w:p>
        </w:tc>
        <w:tc>
          <w:tcPr>
            <w:tcW w:w="2000" w:type="dxa"/>
          </w:tcPr>
          <w:p>
            <w:pPr>
              <w:jc w:val="center"/>
            </w:pPr>
            <w:r>
              <w:rPr/>
              <w:t xml:space="preserve">2</w:t>
            </w:r>
          </w:p>
        </w:tc>
      </w:tr>
      <w:tr>
        <w:trPr/>
        <w:tc>
          <w:tcPr>
            <w:tcW w:w="2000" w:type="dxa"/>
          </w:tcPr>
          <w:p>
            <w:pPr>
              <w:jc w:val="center"/>
            </w:pPr>
            <w:r>
              <w:rPr/>
              <w:t xml:space="preserve">2.2</w:t>
            </w:r>
          </w:p>
        </w:tc>
        <w:tc>
          <w:tcPr>
            <w:tcW w:w="5000" w:type="dxa"/>
          </w:tcPr>
          <w:p>
            <w:pPr/>
            <w:r>
              <w:rPr/>
              <w:t xml:space="preserve">Sdílení prostřednictvím digitálních technologií  </w:t>
            </w:r>
          </w:p>
        </w:tc>
        <w:tc>
          <w:tcPr>
            <w:tcW w:w="2000" w:type="dxa"/>
          </w:tcPr>
          <w:p>
            <w:pPr>
              <w:jc w:val="center"/>
            </w:pPr>
            <w:r>
              <w:rPr/>
              <w:t xml:space="preserve">2</w:t>
            </w:r>
          </w:p>
        </w:tc>
      </w:tr>
      <w:tr>
        <w:trPr/>
        <w:tc>
          <w:tcPr>
            <w:tcW w:w="2000" w:type="dxa"/>
          </w:tcPr>
          <w:p>
            <w:pPr>
              <w:jc w:val="center"/>
            </w:pPr>
            <w:r>
              <w:rPr/>
              <w:t xml:space="preserve">2.1</w:t>
            </w:r>
          </w:p>
        </w:tc>
        <w:tc>
          <w:tcPr>
            <w:tcW w:w="5000" w:type="dxa"/>
          </w:tcPr>
          <w:p>
            <w:pPr/>
            <w:r>
              <w:rPr/>
              <w:t xml:space="preserve">Interakce prostřednictvím digitálních technologií  </w:t>
            </w:r>
          </w:p>
        </w:tc>
        <w:tc>
          <w:tcPr>
            <w:tcW w:w="2000" w:type="dxa"/>
          </w:tcPr>
          <w:p>
            <w:pPr>
              <w:jc w:val="center"/>
            </w:pPr>
            <w:r>
              <w:rPr/>
              <w:t xml:space="preserve">2</w:t>
            </w:r>
          </w:p>
        </w:tc>
      </w:tr>
      <w:tr>
        <w:trPr/>
        <w:tc>
          <w:tcPr>
            <w:tcW w:w="2000" w:type="dxa"/>
          </w:tcPr>
          <w:p>
            <w:pPr>
              <w:jc w:val="center"/>
            </w:pPr>
            <w:r>
              <w:rPr/>
              <w:t xml:space="preserve">1.3</w:t>
            </w:r>
          </w:p>
        </w:tc>
        <w:tc>
          <w:tcPr>
            <w:tcW w:w="5000" w:type="dxa"/>
          </w:tcPr>
          <w:p>
            <w:pPr/>
            <w:r>
              <w:rPr/>
              <w:t xml:space="preserve">Správa dat, informací a digitálního obsahu  </w:t>
            </w:r>
          </w:p>
        </w:tc>
        <w:tc>
          <w:tcPr>
            <w:tcW w:w="2000" w:type="dxa"/>
          </w:tcPr>
          <w:p>
            <w:pPr>
              <w:jc w:val="center"/>
            </w:pPr>
            <w:r>
              <w:rPr/>
              <w:t xml:space="preserve">2</w:t>
            </w:r>
          </w:p>
        </w:tc>
      </w:tr>
      <w:tr>
        <w:trPr/>
        <w:tc>
          <w:tcPr>
            <w:tcW w:w="2000" w:type="dxa"/>
          </w:tcPr>
          <w:p>
            <w:pPr>
              <w:jc w:val="center"/>
            </w:pPr>
            <w:r>
              <w:rPr/>
              <w:t xml:space="preserve">1.2</w:t>
            </w:r>
          </w:p>
        </w:tc>
        <w:tc>
          <w:tcPr>
            <w:tcW w:w="5000" w:type="dxa"/>
          </w:tcPr>
          <w:p>
            <w:pPr/>
            <w:r>
              <w:rPr/>
              <w:t xml:space="preserve">Hodnocení dat, informací a digitálního obsahu  </w:t>
            </w:r>
          </w:p>
        </w:tc>
        <w:tc>
          <w:tcPr>
            <w:tcW w:w="2000" w:type="dxa"/>
          </w:tcPr>
          <w:p>
            <w:pPr>
              <w:jc w:val="center"/>
            </w:pPr>
            <w:r>
              <w:rPr/>
              <w:t xml:space="preserve">2</w:t>
            </w:r>
          </w:p>
        </w:tc>
      </w:tr>
      <w:tr>
        <w:trPr/>
        <w:tc>
          <w:tcPr>
            <w:tcW w:w="2000" w:type="dxa"/>
          </w:tcPr>
          <w:p>
            <w:pPr>
              <w:jc w:val="center"/>
            </w:pPr>
            <w:r>
              <w:rPr/>
              <w:t xml:space="preserve">5.4</w:t>
            </w:r>
          </w:p>
        </w:tc>
        <w:tc>
          <w:tcPr>
            <w:tcW w:w="5000" w:type="dxa"/>
          </w:tcPr>
          <w:p>
            <w:pPr/>
            <w:r>
              <w:rPr/>
              <w:t xml:space="preserve">Identifikace nedostatků v digitálních kompetencích  </w:t>
            </w:r>
          </w:p>
        </w:tc>
        <w:tc>
          <w:tcPr>
            <w:tcW w:w="2000" w:type="dxa"/>
          </w:tcPr>
          <w:p>
            <w:pPr>
              <w:jc w:val="center"/>
            </w:pPr>
            <w:r>
              <w:rPr/>
              <w:t xml:space="preserve">2</w:t>
            </w:r>
          </w:p>
        </w:tc>
      </w:tr>
    </w:tbl>
    <w:p>
      <w:pPr/>
      <w:r>
        <w:rPr>
          <w:sz w:val="16"/>
          <w:szCs w:val="16"/>
          <w:i w:val="1"/>
          <w:iCs w:val="1"/>
        </w:rPr>
        <w:t xml:space="preserve">Popisy úrovní naleznete zde: https://nsp.cz/downloads/Priloha_c15_manualu.pdf</w:t>
      </w:r>
    </w:p>
    <w:p/>
    <w:p>
      <w:pPr>
        <w:pStyle w:val="Heading3"/>
      </w:pPr>
      <w:bookmarkStart w:id="19" w:name="_Toc19"/>
      <w:r>
        <w:t>Měkké kompetence</w:t>
      </w:r>
      <w:bookmarkEnd w:id="19"/>
    </w:p>
    <w:tbl>
      <w:tblGrid>
        <w:gridCol w:w="2000" w:type="dxa"/>
        <w:gridCol w:w="5000" w:type="dxa"/>
        <w:gridCol w:w="2000" w:type="dxa"/>
      </w:tblGrid>
      <w:tblPr>
        <w:jc w:val="start"/>
        <w:tblW w:w="0" w:type="auto"/>
        <w:tblCellSpacing w:w="50" w:type="dxa"/>
        <w:tblLayout w:type="autofit"/>
        <w:bidiVisual w:val="0"/>
        <w:tblCellMar>
          <w:top w:w="80" w:type="dxa"/>
          <w:left w:w="80" w:type="dxa"/>
          <w:right w:w="80" w:type="dxa"/>
          <w:bottom w:w="80" w:type="dxa"/>
        </w:tblCellMar>
      </w:tblPr>
      <w:tr>
        <w:trPr/>
        <w:tc>
          <w:tcPr>
            <w:tcW w:w="2000" w:type="dxa"/>
          </w:tcPr>
          <w:p>
            <w:pPr>
              <w:jc w:val="center"/>
            </w:pPr>
            <w:r>
              <w:rPr>
                <w:b w:val="1"/>
                <w:bCs w:val="1"/>
              </w:rPr>
              <w:t xml:space="preserve">Kód</w:t>
            </w:r>
          </w:p>
        </w:tc>
        <w:tc>
          <w:tcPr>
            <w:tcW w:w="5000" w:type="dxa"/>
          </w:tcPr>
          <w:p>
            <w:pPr>
              <w:jc w:val="center"/>
            </w:pPr>
            <w:r>
              <w:rPr>
                <w:b w:val="1"/>
                <w:bCs w:val="1"/>
              </w:rPr>
              <w:t xml:space="preserve">Název</w:t>
            </w:r>
          </w:p>
        </w:tc>
        <w:tc>
          <w:tcPr>
            <w:tcW w:w="2000" w:type="dxa"/>
          </w:tcPr>
          <w:p>
            <w:pPr>
              <w:jc w:val="center"/>
            </w:pPr>
            <w:r>
              <w:rPr>
                <w:b w:val="1"/>
                <w:bCs w:val="1"/>
              </w:rPr>
              <w:t xml:space="preserve">Úroveň 0-5</w:t>
            </w:r>
          </w:p>
        </w:tc>
      </w:tr>
      <w:tr>
        <w:trPr/>
        <w:tc>
          <w:tcPr>
            <w:tcW w:w="2000" w:type="dxa"/>
          </w:tcPr>
          <w:p>
            <w:pPr>
              <w:jc w:val="center"/>
            </w:pPr>
            <w:r>
              <w:rPr/>
              <w:t xml:space="preserve">2.1</w:t>
            </w:r>
          </w:p>
        </w:tc>
        <w:tc>
          <w:tcPr>
            <w:tcW w:w="5000" w:type="dxa"/>
          </w:tcPr>
          <w:p>
            <w:pPr/>
            <w:r>
              <w:rPr/>
              <w:t xml:space="preserve">Kompetence k efektivní komunikaci</w:t>
            </w:r>
          </w:p>
        </w:tc>
        <w:tc>
          <w:tcPr>
            <w:tcW w:w="2000" w:type="dxa"/>
          </w:tcPr>
          <w:p>
            <w:pPr>
              <w:jc w:val="center"/>
            </w:pPr>
            <w:r>
              <w:rPr/>
              <w:t xml:space="preserve">3</w:t>
            </w:r>
          </w:p>
        </w:tc>
      </w:tr>
      <w:tr>
        <w:trPr/>
        <w:tc>
          <w:tcPr>
            <w:tcW w:w="2000" w:type="dxa"/>
          </w:tcPr>
          <w:p>
            <w:pPr>
              <w:jc w:val="center"/>
            </w:pPr>
            <w:r>
              <w:rPr/>
              <w:t xml:space="preserve">2.6</w:t>
            </w:r>
          </w:p>
        </w:tc>
        <w:tc>
          <w:tcPr>
            <w:tcW w:w="5000" w:type="dxa"/>
          </w:tcPr>
          <w:p>
            <w:pPr/>
            <w:r>
              <w:rPr/>
              <w:t xml:space="preserve">Kompetence k vedení lidí</w:t>
            </w:r>
          </w:p>
        </w:tc>
        <w:tc>
          <w:tcPr>
            <w:tcW w:w="2000" w:type="dxa"/>
          </w:tcPr>
          <w:p>
            <w:pPr>
              <w:jc w:val="center"/>
            </w:pPr>
            <w:r>
              <w:rPr/>
              <w:t xml:space="preserve">4</w:t>
            </w:r>
          </w:p>
        </w:tc>
      </w:tr>
      <w:tr>
        <w:trPr/>
        <w:tc>
          <w:tcPr>
            <w:tcW w:w="2000" w:type="dxa"/>
          </w:tcPr>
          <w:p>
            <w:pPr>
              <w:jc w:val="center"/>
            </w:pPr>
            <w:r>
              <w:rPr/>
              <w:t xml:space="preserve">3.3</w:t>
            </w:r>
          </w:p>
        </w:tc>
        <w:tc>
          <w:tcPr>
            <w:tcW w:w="5000" w:type="dxa"/>
          </w:tcPr>
          <w:p>
            <w:pPr/>
            <w:r>
              <w:rPr/>
              <w:t xml:space="preserve">Kompetence k objevování a orientaci v informacích</w:t>
            </w:r>
          </w:p>
        </w:tc>
        <w:tc>
          <w:tcPr>
            <w:tcW w:w="2000" w:type="dxa"/>
          </w:tcPr>
          <w:p>
            <w:pPr>
              <w:jc w:val="center"/>
            </w:pPr>
            <w:r>
              <w:rPr/>
              <w:t xml:space="preserve">3</w:t>
            </w:r>
          </w:p>
        </w:tc>
      </w:tr>
      <w:tr>
        <w:trPr/>
        <w:tc>
          <w:tcPr>
            <w:tcW w:w="2000" w:type="dxa"/>
          </w:tcPr>
          <w:p>
            <w:pPr>
              <w:jc w:val="center"/>
            </w:pPr>
            <w:r>
              <w:rPr/>
              <w:t xml:space="preserve">1.4</w:t>
            </w:r>
          </w:p>
        </w:tc>
        <w:tc>
          <w:tcPr>
            <w:tcW w:w="5000" w:type="dxa"/>
          </w:tcPr>
          <w:p>
            <w:pPr/>
            <w:r>
              <w:rPr/>
              <w:t xml:space="preserve">Kompetence ke zvládání stresu a zátěže</w:t>
            </w:r>
          </w:p>
        </w:tc>
        <w:tc>
          <w:tcPr>
            <w:tcW w:w="2000" w:type="dxa"/>
          </w:tcPr>
          <w:p>
            <w:pPr>
              <w:jc w:val="center"/>
            </w:pPr>
            <w:r>
              <w:rPr/>
              <w:t xml:space="preserve">3</w:t>
            </w:r>
          </w:p>
        </w:tc>
      </w:tr>
      <w:tr>
        <w:trPr/>
        <w:tc>
          <w:tcPr>
            <w:tcW w:w="2000" w:type="dxa"/>
          </w:tcPr>
          <w:p>
            <w:pPr>
              <w:jc w:val="center"/>
            </w:pPr>
            <w:r>
              <w:rPr/>
              <w:t xml:space="preserve">4.1</w:t>
            </w:r>
          </w:p>
        </w:tc>
        <w:tc>
          <w:tcPr>
            <w:tcW w:w="5000" w:type="dxa"/>
          </w:tcPr>
          <w:p>
            <w:pPr/>
            <w:r>
              <w:rPr/>
              <w:t xml:space="preserve">Kompetence k aktivnímu přístupu</w:t>
            </w:r>
          </w:p>
        </w:tc>
        <w:tc>
          <w:tcPr>
            <w:tcW w:w="2000" w:type="dxa"/>
          </w:tcPr>
          <w:p>
            <w:pPr>
              <w:jc w:val="center"/>
            </w:pPr>
            <w:r>
              <w:rPr/>
              <w:t xml:space="preserve">4</w:t>
            </w:r>
          </w:p>
        </w:tc>
      </w:tr>
      <w:tr>
        <w:trPr/>
        <w:tc>
          <w:tcPr>
            <w:tcW w:w="2000" w:type="dxa"/>
          </w:tcPr>
          <w:p>
            <w:pPr>
              <w:jc w:val="center"/>
            </w:pPr>
            <w:r>
              <w:rPr/>
              <w:t xml:space="preserve">1.1</w:t>
            </w:r>
          </w:p>
        </w:tc>
        <w:tc>
          <w:tcPr>
            <w:tcW w:w="5000" w:type="dxa"/>
          </w:tcPr>
          <w:p>
            <w:pPr/>
            <w:r>
              <w:rPr/>
              <w:t xml:space="preserve">Kompetence k celoživotnímu vzdělávání</w:t>
            </w:r>
          </w:p>
        </w:tc>
        <w:tc>
          <w:tcPr>
            <w:tcW w:w="2000" w:type="dxa"/>
          </w:tcPr>
          <w:p>
            <w:pPr>
              <w:jc w:val="center"/>
            </w:pPr>
            <w:r>
              <w:rPr/>
              <w:t xml:space="preserve">3</w:t>
            </w:r>
          </w:p>
        </w:tc>
      </w:tr>
      <w:tr>
        <w:trPr/>
        <w:tc>
          <w:tcPr>
            <w:tcW w:w="2000" w:type="dxa"/>
          </w:tcPr>
          <w:p>
            <w:pPr>
              <w:jc w:val="center"/>
            </w:pPr>
            <w:r>
              <w:rPr/>
              <w:t xml:space="preserve">4.2</w:t>
            </w:r>
          </w:p>
        </w:tc>
        <w:tc>
          <w:tcPr>
            <w:tcW w:w="5000" w:type="dxa"/>
          </w:tcPr>
          <w:p>
            <w:pPr/>
            <w:r>
              <w:rPr/>
              <w:t xml:space="preserve">Kompetence k plánování a organizování práce</w:t>
            </w:r>
          </w:p>
        </w:tc>
        <w:tc>
          <w:tcPr>
            <w:tcW w:w="2000" w:type="dxa"/>
          </w:tcPr>
          <w:p>
            <w:pPr>
              <w:jc w:val="center"/>
            </w:pPr>
            <w:r>
              <w:rPr/>
              <w:t xml:space="preserve">4</w:t>
            </w:r>
          </w:p>
        </w:tc>
      </w:tr>
      <w:tr>
        <w:trPr/>
        <w:tc>
          <w:tcPr>
            <w:tcW w:w="2000" w:type="dxa"/>
          </w:tcPr>
          <w:p>
            <w:pPr>
              <w:jc w:val="center"/>
            </w:pPr>
            <w:r>
              <w:rPr/>
              <w:t xml:space="preserve">4.4</w:t>
            </w:r>
          </w:p>
        </w:tc>
        <w:tc>
          <w:tcPr>
            <w:tcW w:w="5000" w:type="dxa"/>
          </w:tcPr>
          <w:p>
            <w:pPr/>
            <w:r>
              <w:rPr/>
              <w:t xml:space="preserve">Kompetence k řešení problémů</w:t>
            </w:r>
          </w:p>
        </w:tc>
        <w:tc>
          <w:tcPr>
            <w:tcW w:w="2000" w:type="dxa"/>
          </w:tcPr>
          <w:p>
            <w:pPr>
              <w:jc w:val="center"/>
            </w:pPr>
            <w:r>
              <w:rPr/>
              <w:t xml:space="preserve">4</w:t>
            </w:r>
          </w:p>
        </w:tc>
      </w:tr>
      <w:tr>
        <w:trPr/>
        <w:tc>
          <w:tcPr>
            <w:tcW w:w="2000" w:type="dxa"/>
          </w:tcPr>
          <w:p>
            <w:pPr>
              <w:jc w:val="center"/>
            </w:pPr>
            <w:r>
              <w:rPr/>
              <w:t xml:space="preserve">4.5</w:t>
            </w:r>
          </w:p>
        </w:tc>
        <w:tc>
          <w:tcPr>
            <w:tcW w:w="5000" w:type="dxa"/>
          </w:tcPr>
          <w:p>
            <w:pPr/>
            <w:r>
              <w:rPr/>
              <w:t xml:space="preserve">Kompetence k samostatnosti</w:t>
            </w:r>
          </w:p>
        </w:tc>
        <w:tc>
          <w:tcPr>
            <w:tcW w:w="2000" w:type="dxa"/>
          </w:tcPr>
          <w:p>
            <w:pPr>
              <w:jc w:val="center"/>
            </w:pPr>
            <w:r>
              <w:rPr/>
              <w:t xml:space="preserve">4</w:t>
            </w:r>
          </w:p>
        </w:tc>
      </w:tr>
      <w:tr>
        <w:trPr/>
        <w:tc>
          <w:tcPr>
            <w:tcW w:w="2000" w:type="dxa"/>
          </w:tcPr>
          <w:p>
            <w:pPr>
              <w:jc w:val="center"/>
            </w:pPr>
            <w:r>
              <w:rPr/>
              <w:t xml:space="preserve">4.6</w:t>
            </w:r>
          </w:p>
        </w:tc>
        <w:tc>
          <w:tcPr>
            <w:tcW w:w="5000" w:type="dxa"/>
          </w:tcPr>
          <w:p>
            <w:pPr/>
            <w:r>
              <w:rPr/>
              <w:t xml:space="preserve">Kompetence k výkonnosti</w:t>
            </w:r>
          </w:p>
        </w:tc>
        <w:tc>
          <w:tcPr>
            <w:tcW w:w="2000" w:type="dxa"/>
          </w:tcPr>
          <w:p>
            <w:pPr>
              <w:jc w:val="center"/>
            </w:pPr>
            <w:r>
              <w:rPr/>
              <w:t xml:space="preserve">4</w:t>
            </w:r>
          </w:p>
        </w:tc>
      </w:tr>
      <w:tr>
        <w:trPr/>
        <w:tc>
          <w:tcPr>
            <w:tcW w:w="2000" w:type="dxa"/>
          </w:tcPr>
          <w:p>
            <w:pPr>
              <w:jc w:val="center"/>
            </w:pPr>
            <w:r>
              <w:rPr/>
              <w:t xml:space="preserve">2.3</w:t>
            </w:r>
          </w:p>
        </w:tc>
        <w:tc>
          <w:tcPr>
            <w:tcW w:w="5000" w:type="dxa"/>
          </w:tcPr>
          <w:p>
            <w:pPr/>
            <w:r>
              <w:rPr/>
              <w:t xml:space="preserve">Kompetence k orientaci na zákazníka a uspokojování zákaznických potřeb</w:t>
            </w:r>
          </w:p>
        </w:tc>
        <w:tc>
          <w:tcPr>
            <w:tcW w:w="2000" w:type="dxa"/>
          </w:tcPr>
          <w:p>
            <w:pPr>
              <w:jc w:val="center"/>
            </w:pPr>
            <w:r>
              <w:rPr/>
              <w:t xml:space="preserve">4</w:t>
            </w:r>
          </w:p>
        </w:tc>
      </w:tr>
      <w:tr>
        <w:trPr/>
        <w:tc>
          <w:tcPr>
            <w:tcW w:w="2000" w:type="dxa"/>
          </w:tcPr>
          <w:p>
            <w:pPr>
              <w:jc w:val="center"/>
            </w:pPr>
            <w:r>
              <w:rPr/>
              <w:t xml:space="preserve">1.2</w:t>
            </w:r>
          </w:p>
        </w:tc>
        <w:tc>
          <w:tcPr>
            <w:tcW w:w="5000" w:type="dxa"/>
          </w:tcPr>
          <w:p>
            <w:pPr/>
            <w:r>
              <w:rPr/>
              <w:t xml:space="preserve">Kompetence k flexibilitě</w:t>
            </w:r>
          </w:p>
        </w:tc>
        <w:tc>
          <w:tcPr>
            <w:tcW w:w="2000" w:type="dxa"/>
          </w:tcPr>
          <w:p>
            <w:pPr>
              <w:jc w:val="center"/>
            </w:pPr>
            <w:r>
              <w:rPr/>
              <w:t xml:space="preserve">3</w:t>
            </w:r>
          </w:p>
        </w:tc>
      </w:tr>
      <w:tr>
        <w:trPr/>
        <w:tc>
          <w:tcPr>
            <w:tcW w:w="2000" w:type="dxa"/>
          </w:tcPr>
          <w:p>
            <w:pPr>
              <w:jc w:val="center"/>
            </w:pPr>
            <w:r>
              <w:rPr/>
              <w:t xml:space="preserve">1.3</w:t>
            </w:r>
          </w:p>
        </w:tc>
        <w:tc>
          <w:tcPr>
            <w:tcW w:w="5000" w:type="dxa"/>
          </w:tcPr>
          <w:p>
            <w:pPr/>
            <w:r>
              <w:rPr/>
              <w:t xml:space="preserve">Kompetence ke kreativitě</w:t>
            </w:r>
          </w:p>
        </w:tc>
        <w:tc>
          <w:tcPr>
            <w:tcW w:w="2000" w:type="dxa"/>
          </w:tcPr>
          <w:p>
            <w:pPr>
              <w:jc w:val="center"/>
            </w:pPr>
            <w:r>
              <w:rPr/>
              <w:t xml:space="preserve">3</w:t>
            </w:r>
          </w:p>
        </w:tc>
      </w:tr>
      <w:tr>
        <w:trPr/>
        <w:tc>
          <w:tcPr>
            <w:tcW w:w="2000" w:type="dxa"/>
          </w:tcPr>
          <w:p>
            <w:pPr>
              <w:jc w:val="center"/>
            </w:pPr>
            <w:r>
              <w:rPr/>
              <w:t xml:space="preserve">2.2</w:t>
            </w:r>
          </w:p>
        </w:tc>
        <w:tc>
          <w:tcPr>
            <w:tcW w:w="5000" w:type="dxa"/>
          </w:tcPr>
          <w:p>
            <w:pPr/>
            <w:r>
              <w:rPr/>
              <w:t xml:space="preserve">Kompetence ke kooperaci</w:t>
            </w:r>
          </w:p>
        </w:tc>
        <w:tc>
          <w:tcPr>
            <w:tcW w:w="2000" w:type="dxa"/>
          </w:tcPr>
          <w:p>
            <w:pPr>
              <w:jc w:val="center"/>
            </w:pPr>
            <w:r>
              <w:rPr/>
              <w:t xml:space="preserve">4</w:t>
            </w:r>
          </w:p>
        </w:tc>
      </w:tr>
      <w:tr>
        <w:trPr/>
        <w:tc>
          <w:tcPr>
            <w:tcW w:w="2000" w:type="dxa"/>
          </w:tcPr>
          <w:p>
            <w:pPr>
              <w:jc w:val="center"/>
            </w:pPr>
            <w:r>
              <w:rPr/>
              <w:t xml:space="preserve">2.4</w:t>
            </w:r>
          </w:p>
        </w:tc>
        <w:tc>
          <w:tcPr>
            <w:tcW w:w="5000" w:type="dxa"/>
          </w:tcPr>
          <w:p>
            <w:pPr/>
            <w:r>
              <w:rPr/>
              <w:t xml:space="preserve">Kompetence k ovlivňování a rozvíjení ostatních</w:t>
            </w:r>
          </w:p>
        </w:tc>
        <w:tc>
          <w:tcPr>
            <w:tcW w:w="2000" w:type="dxa"/>
          </w:tcPr>
          <w:p>
            <w:pPr>
              <w:jc w:val="center"/>
            </w:pPr>
            <w:r>
              <w:rPr/>
              <w:t xml:space="preserve">3</w:t>
            </w:r>
          </w:p>
        </w:tc>
      </w:tr>
    </w:tbl>
    <w:p>
      <w:pPr/>
      <w:r>
        <w:rPr>
          <w:sz w:val="16"/>
          <w:szCs w:val="16"/>
          <w:i w:val="1"/>
          <w:iCs w:val="1"/>
        </w:rPr>
        <w:t xml:space="preserve">Popisy úrovní naleznete zde: https://nsp.cz/downloads/Priloha_c9_manualu.pdf</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
    <w:nsid w:val="08B903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spacing w:after="120"/>
    </w:pPr>
    <w:rPr>
      <w:sz w:val="40"/>
      <w:szCs w:val="40"/>
      <w:b w:val="1"/>
      <w:bCs w:val="1"/>
    </w:rPr>
  </w:style>
  <w:style w:type="paragraph" w:styleId="Heading2">
    <w:link w:val="Heading2Char"/>
    <w:name w:val="heading 2"/>
    <w:basedOn w:val="Normal"/>
    <w:pPr>
      <w:spacing w:after="80"/>
    </w:pPr>
    <w:rPr>
      <w:sz w:val="28"/>
      <w:szCs w:val="28"/>
      <w:b w:val="1"/>
      <w:bCs w:val="1"/>
    </w:rPr>
  </w:style>
  <w:style w:type="paragraph" w:styleId="Heading3">
    <w:link w:val="Heading3Char"/>
    <w:name w:val="heading 3"/>
    <w:basedOn w:val="Normal"/>
    <w:pPr>
      <w:spacing w:after="60"/>
    </w:pPr>
    <w:rPr>
      <w:sz w:val="24"/>
      <w:szCs w:val="24"/>
      <w:b w:val="1"/>
      <w:bCs w:val="1"/>
    </w:rPr>
  </w:style>
  <w:style w:type="paragraph" w:styleId="Heading4">
    <w:link w:val="Heading4Char"/>
    <w:name w:val="heading 4"/>
    <w:basedOn w:val="Normal"/>
    <w:pPr>
      <w:spacing w:after="60"/>
    </w:pPr>
    <w:rPr>
      <w:sz w:val="24"/>
      <w:szCs w:val="24"/>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FDV</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NSP.CZ</dc:creator>
  <dc:title>Chemický technik manažer provozu</dc:title>
  <dc:description>Chemický technik manažer provozu dílčím způsobem řídí jednotku chemické výroby nebo její části.</dc:description>
  <dc:subject/>
  <cp:keywords/>
  <cp:category>Specializace</cp:category>
  <cp:lastModifiedBy/>
  <dcterms:created xsi:type="dcterms:W3CDTF">2017-11-22T09:30:18+01:00</dcterms:created>
  <dcterms:modified xsi:type="dcterms:W3CDTF">2018-02-06T13:28:01+01:00</dcterms:modified>
</cp:coreProperties>
</file>

<file path=docProps/custom.xml><?xml version="1.0" encoding="utf-8"?>
<Properties xmlns="http://schemas.openxmlformats.org/officeDocument/2006/custom-properties" xmlns:vt="http://schemas.openxmlformats.org/officeDocument/2006/docPropsVTypes"/>
</file>