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</w:t>
      </w:r>
      <w:bookmarkEnd w:id="1"/>
    </w:p>
    <w:p>
      <w:pPr/>
      <w:r>
        <w:rPr/>
        <w:t xml:space="preserve">Projektant vodních staveb vypracovává a posuzuje projekty jednodušších staveb a technologických zařízení, zpracovává dílčí projektové podklady a technická řešení podle zadání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Zpracování posudků a rozborů dle zadání.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rekonstrukci a obnovu břehových porostů.</w:t>
      </w:r>
    </w:p>
    <w:p>
      <w:pPr>
        <w:numPr>
          <w:ilvl w:val="0"/>
          <w:numId w:val="5"/>
        </w:numPr>
      </w:pPr>
      <w:r>
        <w:rPr/>
        <w:t xml:space="preserve">Zajišťování a zpracování geodetických podkladů pro projektové a vytyčovací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F6EB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</dc:title>
  <dc:description>Projektant vodních staveb vypracovává a posuzuje projekty jednodušších staveb a technologických zařízení, zpracovává dílčí projektové podklady a technická řešení podle zadání stavby.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