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specialista</w:t>
      </w:r>
      <w:bookmarkEnd w:id="1"/>
    </w:p>
    <w:p>
      <w:pPr/>
      <w:r>
        <w:rPr/>
        <w:t xml:space="preserve">Zahradnický specialista řídí a koordinuje květinářské, ovocnické, zelinářské a školkařské práce, úsek realizace, údržby sadovnických a krajinářských úprav a poskytuje specializované poradenství a metodickou činnost pro tuto oblast.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 Inženýr sadař,  Inženýr ovocnář,  Inženýr zelinář,  Inženýr květinář,  Inženýr školkař,  Inženýr sadových úprav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plánů zahradnické produkce a údržby zeleně.</w:t>
      </w:r>
    </w:p>
    <w:p>
      <w:pPr>
        <w:numPr>
          <w:ilvl w:val="0"/>
          <w:numId w:val="5"/>
        </w:numPr>
      </w:pPr>
      <w:r>
        <w:rPr/>
        <w:t xml:space="preserve">Zpracování metodických postupů a koncepcí.</w:t>
      </w:r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Řízení odbytu a prodeje zahradnické produkce.</w:t>
      </w:r>
    </w:p>
    <w:p>
      <w:pPr>
        <w:numPr>
          <w:ilvl w:val="0"/>
          <w:numId w:val="5"/>
        </w:numPr>
      </w:pPr>
      <w:r>
        <w:rPr/>
        <w:t xml:space="preserve">Provádění analýz a expertních hodnocení výsledků v zahradnické produkci.</w:t>
      </w:r>
    </w:p>
    <w:p>
      <w:pPr>
        <w:numPr>
          <w:ilvl w:val="0"/>
          <w:numId w:val="5"/>
        </w:numPr>
      </w:pPr>
      <w:r>
        <w:rPr/>
        <w:t xml:space="preserve">Vedení ekonomiky zahradnické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zahradnické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AA66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specialista</dc:title>
  <dc:description>Zahradnický specialista řídí a koordinuje květinářské, ovocnické, zelinářské a školkařské práce, úsek realizace, údržby sadovnických a krajinářských úprav a poskytuje specializované poradenství a metodickou činnost pro tuto oblast. 
</dc:description>
  <dc:subject/>
  <cp:keywords/>
  <cp:category>Povolání</cp:category>
  <cp:lastModifiedBy/>
  <dcterms:created xsi:type="dcterms:W3CDTF">2017-11-22T09:08:41+01:00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