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důstojník</w:t>
      </w:r>
      <w:bookmarkEnd w:id="1"/>
    </w:p>
    <w:p>
      <w:pPr/>
      <w:r>
        <w:rPr/>
        <w:t xml:space="preserve">Operační důstojník samostatně rozhoduje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operačních činnostech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úkonů a činností operačních techniků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operačních techniků tísňové linky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1BB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důstojník</dc:title>
  <dc:description>Operační důstojník samostatně rozhoduje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2017-11-22T09:27:40+01:00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