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Obsluha stavebních strojů nakládacích a vykládacích kolových a pásových</w:t>
      </w:r>
      <w:bookmarkEnd w:id="1"/>
    </w:p>
    <w:p>
      <w:pPr/>
      <w:r>
        <w:rPr/>
        <w:t xml:space="preserve">Obsluha stavebních strojů nakládacích a vykládacích kolových a pásových obsluhuje všechny typy nakladačů kolových a pásových při nakládání štěrků, stavební suti, ornice a různých druhů zemin.</w:t>
      </w:r>
    </w:p>
    <w:p/>
    <w:tbl>
      <w:tblGrid>
        <w:gridCol w:w="3000" w:type="dxa"/>
        <w:gridCol w:w="6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r>
              <w:rPr>
                <w:b w:val="1"/>
                <w:bCs w:val="1"/>
              </w:rPr>
              <w:t xml:space="preserve">Odborný směr:</w:t>
            </w:r>
          </w:p>
        </w:tc>
        <w:tc>
          <w:tcPr>
            <w:tcW w:w="6000" w:type="dxa"/>
          </w:tcPr>
          <w:p>
            <w:pPr/>
            <w:r>
              <w:rPr/>
              <w:t xml:space="preserve">Stavebnictví a zeměměřictví</w:t>
            </w:r>
          </w:p>
        </w:tc>
      </w:tr>
      <w:tr>
        <w:trPr/>
        <w:tc>
          <w:tcPr/>
          <w:p>
            <w:pPr/>
            <w:r>
              <w:rPr>
                <w:b w:val="1"/>
                <w:bCs w:val="1"/>
              </w:rPr>
              <w:t xml:space="preserve">Odborný podsměr:</w:t>
            </w:r>
          </w:p>
        </w:tc>
        <w:tc>
          <w:tcPr/>
          <w:p>
            <w:pPr/>
            <w:r>
              <w:rPr/>
              <w:t xml:space="preserve">obsluha stavebních strojů</w:t>
            </w:r>
          </w:p>
        </w:tc>
      </w:tr>
      <w:tr>
        <w:trPr/>
        <w:tc>
          <w:tcPr/>
          <w:p>
            <w:pPr/>
            <w:r>
              <w:rPr>
                <w:b w:val="1"/>
                <w:bCs w:val="1"/>
              </w:rPr>
              <w:t xml:space="preserve">Kvalifikační úroveň:</w:t>
            </w:r>
          </w:p>
        </w:tc>
        <w:tc>
          <w:tcPr/>
          <w:p>
            <w:pPr/>
            <w:r>
              <w:rPr/>
              <w:t xml:space="preserve">Střední vzdělání s výučním listem tříleté</w:t>
            </w:r>
          </w:p>
        </w:tc>
      </w:tr>
      <w:tr>
        <w:trPr/>
        <w:tc>
          <w:tcPr/>
          <w:p>
            <w:pPr/>
            <w:r>
              <w:rPr>
                <w:b w:val="1"/>
                <w:bCs w:val="1"/>
              </w:rPr>
              <w:t xml:space="preserve">Alternativní názvy:</w:t>
            </w:r>
          </w:p>
        </w:tc>
        <w:tc>
          <w:tcPr/>
          <w:p>
            <w:pPr/>
            <w:r>
              <w:rPr/>
              <w:t xml:space="preserve">Obsluha nakládacích a vykládacích strojů</w:t>
            </w:r>
          </w:p>
        </w:tc>
      </w:tr>
      <w:tr>
        <w:trPr/>
        <w:tc>
          <w:tcPr/>
          <w:p>
            <w:pPr/>
            <w:r>
              <w:rPr>
                <w:b w:val="1"/>
                <w:bCs w:val="1"/>
              </w:rPr>
              <w:t xml:space="preserve">Nadřízené povolání:</w:t>
            </w:r>
          </w:p>
        </w:tc>
        <w:tc>
          <w:tcPr/>
          <w:p>
            <w:pPr/>
            <w:r>
              <w:rPr/>
              <w:t xml:space="preserve">Strojník obsluhy stavebních strojů</w:t>
            </w:r>
          </w:p>
        </w:tc>
      </w:tr>
      <w:tr>
        <w:trPr/>
        <w:tc>
          <w:tcPr/>
          <w:p>
            <w:pPr/>
            <w:r>
              <w:rPr>
                <w:b w:val="1"/>
                <w:bCs w:val="1"/>
              </w:rPr>
              <w:t xml:space="preserve">Příbuzné specializace:</w:t>
            </w:r>
          </w:p>
        </w:tc>
        <w:tc>
          <w:tcPr/>
          <w:p>
            <w:pPr/>
            <w:r>
              <w:rPr/>
              <w:t xml:space="preserve">Obsluha stavebních strojů dozerů a kolových traktorů, Obsluha stavebních strojů skrejprů s pásovým tahačem, Obsluha stavebních strojů autogrejdrů a grejdrelevátorů, Obsluha stavebních strojů finišerů živičných a betonových směsí, Obsluha stavebních strojů speciálních motorových sněhových fréz, Obsluha stavebních strojů obaloven živičných směsí, Obsluha stavebních strojů dozerů a pásových traktorů, Obsluha stavebních strojů pro zakládání - vrtané piloty, beranidla a vytahovače, Obsluha stavebních strojů betonáren, Obsluha stavebních strojů truboukladčíků, Obsluha stavebních strojů a zařízení pro napínání předpínací výztuže, Obsluha stavebních strojů čerpadel čerstvého betonu, Obsluha stavebních elektrocentrál, Obsluha stavebních strojů nakládacích a vykládacích kolových a pásových, Obsluha drenážních strojů a fréz, Obsluha stavebních strojů vrtných souprav pro skalní práce, Obsluha stavebních strojů silničních válců, Obsluha stavebních strojů speciálních přepravníků čerstvého betonu, Obsluha stavebních strojů úzkorozchodných lokomotiv pro přenosné dráhy, Obsluha stavebních strojů motorových skrejprů, Obsluha stavebních strojů zařízení pro míchání injektážní malty a injektování, Obsluha stavebních strojů kompresorů, Obsluha stavebních strojů korečkových hlubidel, Obsluha stavebních strojů speciálních tahačů stavebních mechanizmů, Obsluha stavebních strojů finišerů živičných a betonových směsí, Obsluha drenážních strojů a fréz, Obsluha stavebních strojů zařízení pro míchání injektážní malty a injektování, Obsluha stavebních strojů skrejprů s pásovým tahačem, Obsluha stavebních strojů speciálních motorových sněhových fréz, Obsluha stavebních strojů korečkových hlubidel, Obsluha stavebních strojů truboukladčíků, Obsluha stavebních strojů speciálních přepravníků čerstvého betonu, Obsluha stavebních strojů pro zakládání - vrtané piloty, beranidla a vytahovače</w:t>
            </w:r>
          </w:p>
        </w:tc>
      </w:tr>
      <w:tr>
        <w:trPr/>
        <w:tc>
          <w:tcPr/>
          <w:p>
            <w:pPr/>
            <w:r>
              <w:rPr>
                <w:b w:val="1"/>
                <w:bCs w:val="1"/>
              </w:rPr>
              <w:t xml:space="preserve">Regulovaná jednotka práce:</w:t>
            </w:r>
          </w:p>
        </w:tc>
        <w:tc>
          <w:tcPr/>
          <w:p>
            <w:pPr/>
            <w:r>
              <w:rPr/>
              <w:t xml:space="preserve">ne</w:t>
            </w:r>
          </w:p>
        </w:tc>
      </w:tr>
    </w:tbl>
    <w:p/>
    <w:p>
      <w:pPr>
        <w:pStyle w:val="Heading2"/>
      </w:pPr>
      <w:bookmarkStart w:id="2" w:name="_Toc2"/>
      <w:r>
        <w:t>Pracovní činnosti</w:t>
      </w:r>
      <w:bookmarkEnd w:id="2"/>
    </w:p>
    <w:p>
      <w:pPr>
        <w:numPr>
          <w:ilvl w:val="0"/>
          <w:numId w:val="5"/>
        </w:numPr>
      </w:pPr>
      <w:r>
        <w:rPr/>
        <w:t xml:space="preserve">Výběr strojního zařízení nakladače (lopaty) podle projektové dokumentace.</w:t>
      </w:r>
    </w:p>
    <w:p>
      <w:pPr>
        <w:numPr>
          <w:ilvl w:val="0"/>
          <w:numId w:val="5"/>
        </w:numPr>
      </w:pPr>
      <w:r>
        <w:rPr/>
        <w:t xml:space="preserve">Prohlídka pracoviště, ověření vhodnosti nasazení daného stroje a příslušenství.</w:t>
      </w:r>
    </w:p>
    <w:p>
      <w:pPr>
        <w:numPr>
          <w:ilvl w:val="0"/>
          <w:numId w:val="5"/>
        </w:numPr>
      </w:pPr>
      <w:r>
        <w:rPr/>
        <w:t xml:space="preserve">Stanovení pracovního postupu a metody nakládání (na korbu vozidla, do zásobníků apod.).</w:t>
      </w:r>
    </w:p>
    <w:p>
      <w:pPr>
        <w:numPr>
          <w:ilvl w:val="0"/>
          <w:numId w:val="5"/>
        </w:numPr>
      </w:pPr>
      <w:r>
        <w:rPr/>
        <w:t xml:space="preserve">Seřízení pracovního zařízení podle druhu nakládaného materiálu.</w:t>
      </w:r>
    </w:p>
    <w:p>
      <w:pPr>
        <w:numPr>
          <w:ilvl w:val="0"/>
          <w:numId w:val="5"/>
        </w:numPr>
      </w:pPr>
      <w:r>
        <w:rPr/>
        <w:t xml:space="preserve">Kontrola splnění požadavků BOZP.</w:t>
      </w:r>
    </w:p>
    <w:p>
      <w:pPr>
        <w:numPr>
          <w:ilvl w:val="0"/>
          <w:numId w:val="5"/>
        </w:numPr>
      </w:pPr>
      <w:r>
        <w:rPr/>
        <w:t xml:space="preserve">Obsluha stavebního nakladače.</w:t>
      </w:r>
    </w:p>
    <w:p>
      <w:pPr>
        <w:numPr>
          <w:ilvl w:val="0"/>
          <w:numId w:val="5"/>
        </w:numPr>
      </w:pPr>
      <w:r>
        <w:rPr/>
        <w:t xml:space="preserve">Kontrola provedené práce po etapách dle projektové dokumentace (např. od šachty k šachtě).</w:t>
      </w:r>
    </w:p>
    <w:p>
      <w:pPr>
        <w:numPr>
          <w:ilvl w:val="0"/>
          <w:numId w:val="5"/>
        </w:numPr>
      </w:pPr>
      <w:r>
        <w:rPr/>
        <w:t xml:space="preserve">Ošetření a údržba strojů a nástrojů po skončení práce.</w:t>
      </w:r>
    </w:p>
    <w:p>
      <w:pPr>
        <w:numPr>
          <w:ilvl w:val="0"/>
          <w:numId w:val="5"/>
        </w:numPr>
      </w:pPr>
      <w:r>
        <w:rPr/>
        <w:t xml:space="preserve">Evidence technických dat o průběhu a výsledku práce.</w:t>
      </w:r>
    </w:p>
    <w:p/>
    <w:p>
      <w:pPr>
        <w:pStyle w:val="Heading2"/>
      </w:pPr>
      <w:bookmarkStart w:id="3" w:name="_Toc3"/>
      <w:r>
        <w:t>CZ-ISCO</w:t>
      </w:r>
      <w:bookmarkEnd w:id="3"/>
    </w:p>
    <w:p>
      <w:pPr>
        <w:numPr>
          <w:ilvl w:val="0"/>
          <w:numId w:val="5"/>
        </w:numPr>
      </w:pPr>
      <w:r>
        <w:rPr/>
        <w:t xml:space="preserve">Obsluha zemních a příbuzných strojů</w:t>
      </w:r>
    </w:p>
    <w:p>
      <w:pPr>
        <w:numPr>
          <w:ilvl w:val="0"/>
          <w:numId w:val="5"/>
        </w:numPr>
      </w:pPr>
      <w:r>
        <w:rPr/>
        <w:t xml:space="preserve">Obsluha železničních, zemních a příbuzných strojů a zařízení</w:t>
      </w:r>
    </w:p>
    <w:p/>
    <w:p>
      <w:pPr>
        <w:pStyle w:val="Heading3"/>
      </w:pPr>
      <w:bookmarkStart w:id="4" w:name="_Toc4"/>
      <w:r>
        <w:t>Hrubé měsíční mzdy podle krajů v roce 2025</w:t>
      </w:r>
      <w:bookmarkEnd w:id="4"/>
    </w:p>
    <w:p>
      <w:pPr>
        <w:pStyle w:val="Heading4"/>
      </w:pPr>
      <w:bookmarkStart w:id="5" w:name="_Toc5"/>
      <w:r>
        <w:t>Obsluha železničních, zemních a příbuzných strojů a zařízení (CZ-ISCO 8342)</w:t>
      </w:r>
      <w:bookmarkEnd w:id="5"/>
    </w:p>
    <w:tbl>
      <w:tblGrid>
        <w:gridCol w:w="2400" w:type="dxa"/>
        <w:gridCol w:w="1100" w:type="dxa"/>
        <w:gridCol w:w="1100" w:type="dxa"/>
        <w:gridCol w:w="1100" w:type="dxa"/>
        <w:gridCol w:w="1100" w:type="dxa"/>
        <w:gridCol w:w="1100" w:type="dxa"/>
        <w:gridCol w:w="1100" w:type="dxa"/>
      </w:tblGrid>
      <w:tblPr>
        <w:jc w:val="start"/>
        <w:tblW w:w="0" w:type="auto"/>
        <w:tblCellSpacing w:w="50" w:type="dxa"/>
        <w:tblLayout w:type="autofit"/>
        <w:bidiVisual w:val="0"/>
        <w:tblCellMar>
          <w:top w:w="80" w:type="dxa"/>
          <w:left w:w="80" w:type="dxa"/>
          <w:right w:w="80" w:type="dxa"/>
          <w:bottom w:w="80" w:type="dxa"/>
        </w:tblCellMar>
      </w:tblPr>
      <w:tr>
        <w:trPr/>
        <w:tc>
          <w:tcPr>
            <w:tcW w:w="2400" w:type="dxa"/>
          </w:tcPr>
          <w:p/>
        </w:tc>
        <w:tc>
          <w:tcPr>
            <w:tcW w:w="3300" w:type="dxa"/>
            <w:gridSpan w:val="3"/>
          </w:tcPr>
          <w:p>
            <w:pPr>
              <w:jc w:val="center"/>
            </w:pPr>
            <w:r>
              <w:rPr>
                <w:b w:val="1"/>
                <w:bCs w:val="1"/>
              </w:rPr>
              <w:t xml:space="preserve">Mzdová sféra</w:t>
            </w:r>
          </w:p>
        </w:tc>
        <w:tc>
          <w:tcPr>
            <w:tcW w:w="3300" w:type="dxa"/>
            <w:gridSpan w:val="3"/>
          </w:tcPr>
          <w:p>
            <w:pPr>
              <w:jc w:val="center"/>
            </w:pPr>
            <w:r>
              <w:rPr>
                <w:b w:val="1"/>
                <w:bCs w:val="1"/>
              </w:rPr>
              <w:t xml:space="preserve">Platová sféra</w:t>
            </w:r>
          </w:p>
        </w:tc>
      </w:tr>
      <w:tr>
        <w:trPr/>
        <w:tc>
          <w:tcPr>
            <w:tcW w:w="2400" w:type="dxa"/>
          </w:tcPr>
          <w:p>
            <w:pPr/>
            <w:r>
              <w:rPr>
                <w:b w:val="1"/>
                <w:bCs w:val="1"/>
              </w:rPr>
              <w:t xml:space="preserve">Kraj</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r>
      <w:tr>
        <w:trPr/>
        <w:tc>
          <w:tcPr>
            <w:tcW w:w="2000" w:type="dxa"/>
          </w:tcPr>
          <w:p>
            <w:pPr/>
            <w:r>
              <w:rPr/>
              <w:t xml:space="preserve">Hlavní město Praha</w:t>
            </w:r>
          </w:p>
        </w:tc>
        <w:tc>
          <w:tcPr>
            <w:tcW w:w="1000" w:type="dxa"/>
          </w:tcPr>
          <w:p>
            <w:pPr>
              <w:jc w:val="center"/>
            </w:pPr>
            <w:r>
              <w:rPr/>
              <w:t xml:space="preserve">22 620 Kč</w:t>
            </w:r>
          </w:p>
        </w:tc>
        <w:tc>
          <w:tcPr>
            <w:tcW w:w="1000" w:type="dxa"/>
          </w:tcPr>
          <w:p>
            <w:pPr>
              <w:jc w:val="center"/>
            </w:pPr>
            <w:r>
              <w:rPr/>
              <w:t xml:space="preserve">58 032 Kč</w:t>
            </w:r>
          </w:p>
        </w:tc>
        <w:tc>
          <w:tcPr>
            <w:tcW w:w="1000" w:type="dxa"/>
          </w:tcPr>
          <w:p>
            <w:pPr>
              <w:jc w:val="center"/>
            </w:pPr>
            <w:r>
              <w:rPr/>
              <w:t xml:space="preserve">79 947 Kč</w:t>
            </w:r>
          </w:p>
        </w:tc>
        <w:tc>
          <w:tcPr>
            <w:tcW w:w="1000" w:type="dxa"/>
          </w:tcPr>
          <w:p/>
        </w:tc>
        <w:tc>
          <w:tcPr>
            <w:tcW w:w="1000" w:type="dxa"/>
          </w:tcPr>
          <w:p/>
        </w:tc>
        <w:tc>
          <w:tcPr>
            <w:tcW w:w="1000" w:type="dxa"/>
          </w:tcPr>
          <w:p/>
        </w:tc>
      </w:tr>
      <w:tr>
        <w:trPr/>
        <w:tc>
          <w:tcPr>
            <w:tcW w:w="2000" w:type="dxa"/>
          </w:tcPr>
          <w:p>
            <w:pPr/>
            <w:r>
              <w:rPr/>
              <w:t xml:space="preserve">Středočeský kraj</w:t>
            </w:r>
          </w:p>
        </w:tc>
        <w:tc>
          <w:tcPr>
            <w:tcW w:w="1000" w:type="dxa"/>
          </w:tcPr>
          <w:p>
            <w:pPr>
              <w:jc w:val="center"/>
            </w:pPr>
            <w:r>
              <w:rPr/>
              <w:t xml:space="preserve">21 415 Kč</w:t>
            </w:r>
          </w:p>
        </w:tc>
        <w:tc>
          <w:tcPr>
            <w:tcW w:w="1000" w:type="dxa"/>
          </w:tcPr>
          <w:p>
            <w:pPr>
              <w:jc w:val="center"/>
            </w:pPr>
            <w:r>
              <w:rPr/>
              <w:t xml:space="preserve">46 588 Kč</w:t>
            </w:r>
          </w:p>
        </w:tc>
        <w:tc>
          <w:tcPr>
            <w:tcW w:w="1000" w:type="dxa"/>
          </w:tcPr>
          <w:p>
            <w:pPr>
              <w:jc w:val="center"/>
            </w:pPr>
            <w:r>
              <w:rPr/>
              <w:t xml:space="preserve">62 339 Kč</w:t>
            </w:r>
          </w:p>
        </w:tc>
        <w:tc>
          <w:tcPr>
            <w:tcW w:w="1000" w:type="dxa"/>
          </w:tcPr>
          <w:p/>
        </w:tc>
        <w:tc>
          <w:tcPr>
            <w:tcW w:w="1000" w:type="dxa"/>
          </w:tcPr>
          <w:p/>
        </w:tc>
        <w:tc>
          <w:tcPr>
            <w:tcW w:w="1000" w:type="dxa"/>
          </w:tcPr>
          <w:p/>
        </w:tc>
      </w:tr>
      <w:tr>
        <w:trPr/>
        <w:tc>
          <w:tcPr>
            <w:tcW w:w="2000" w:type="dxa"/>
          </w:tcPr>
          <w:p>
            <w:pPr/>
            <w:r>
              <w:rPr/>
              <w:t xml:space="preserve">Ústecký kraj</w:t>
            </w:r>
          </w:p>
        </w:tc>
        <w:tc>
          <w:tcPr>
            <w:tcW w:w="1000" w:type="dxa"/>
          </w:tcPr>
          <w:p>
            <w:pPr>
              <w:jc w:val="center"/>
            </w:pPr>
            <w:r>
              <w:rPr/>
              <w:t xml:space="preserve">34 929 Kč</w:t>
            </w:r>
          </w:p>
        </w:tc>
        <w:tc>
          <w:tcPr>
            <w:tcW w:w="1000" w:type="dxa"/>
          </w:tcPr>
          <w:p>
            <w:pPr>
              <w:jc w:val="center"/>
            </w:pPr>
            <w:r>
              <w:rPr/>
              <w:t xml:space="preserve">46 301 Kč</w:t>
            </w:r>
          </w:p>
        </w:tc>
        <w:tc>
          <w:tcPr>
            <w:tcW w:w="1000" w:type="dxa"/>
          </w:tcPr>
          <w:p>
            <w:pPr>
              <w:jc w:val="center"/>
            </w:pPr>
            <w:r>
              <w:rPr/>
              <w:t xml:space="preserve">60 652 Kč</w:t>
            </w:r>
          </w:p>
        </w:tc>
        <w:tc>
          <w:tcPr>
            <w:tcW w:w="1000" w:type="dxa"/>
          </w:tcPr>
          <w:p/>
        </w:tc>
        <w:tc>
          <w:tcPr>
            <w:tcW w:w="1000" w:type="dxa"/>
          </w:tcPr>
          <w:p/>
        </w:tc>
        <w:tc>
          <w:tcPr>
            <w:tcW w:w="1000" w:type="dxa"/>
          </w:tcPr>
          <w:p/>
        </w:tc>
      </w:tr>
      <w:tr>
        <w:trPr/>
        <w:tc>
          <w:tcPr>
            <w:tcW w:w="2000" w:type="dxa"/>
          </w:tcPr>
          <w:p>
            <w:pPr/>
            <w:r>
              <w:rPr/>
              <w:t xml:space="preserve">Kraj Vysočina</w:t>
            </w:r>
          </w:p>
        </w:tc>
        <w:tc>
          <w:tcPr>
            <w:tcW w:w="1000" w:type="dxa"/>
          </w:tcPr>
          <w:p>
            <w:pPr>
              <w:jc w:val="center"/>
            </w:pPr>
            <w:r>
              <w:rPr/>
              <w:t xml:space="preserve">27 007 Kč</w:t>
            </w:r>
          </w:p>
        </w:tc>
        <w:tc>
          <w:tcPr>
            <w:tcW w:w="1000" w:type="dxa"/>
          </w:tcPr>
          <w:p>
            <w:pPr>
              <w:jc w:val="center"/>
            </w:pPr>
            <w:r>
              <w:rPr/>
              <w:t xml:space="preserve">45 441 Kč</w:t>
            </w:r>
          </w:p>
        </w:tc>
        <w:tc>
          <w:tcPr>
            <w:tcW w:w="1000" w:type="dxa"/>
          </w:tcPr>
          <w:p>
            <w:pPr>
              <w:jc w:val="center"/>
            </w:pPr>
            <w:r>
              <w:rPr/>
              <w:t xml:space="preserve">59 939 Kč</w:t>
            </w:r>
          </w:p>
        </w:tc>
        <w:tc>
          <w:tcPr>
            <w:tcW w:w="1000" w:type="dxa"/>
          </w:tcPr>
          <w:p/>
        </w:tc>
        <w:tc>
          <w:tcPr>
            <w:tcW w:w="1000" w:type="dxa"/>
          </w:tcPr>
          <w:p/>
        </w:tc>
        <w:tc>
          <w:tcPr>
            <w:tcW w:w="1000" w:type="dxa"/>
          </w:tcPr>
          <w:p/>
        </w:tc>
      </w:tr>
      <w:tr>
        <w:trPr/>
        <w:tc>
          <w:tcPr>
            <w:tcW w:w="2000" w:type="dxa"/>
          </w:tcPr>
          <w:p>
            <w:pPr/>
            <w:r>
              <w:rPr/>
              <w:t xml:space="preserve">Jihomoravský kraj</w:t>
            </w:r>
          </w:p>
        </w:tc>
        <w:tc>
          <w:tcPr>
            <w:tcW w:w="1000" w:type="dxa"/>
          </w:tcPr>
          <w:p>
            <w:pPr>
              <w:jc w:val="center"/>
            </w:pPr>
            <w:r>
              <w:rPr/>
              <w:t xml:space="preserve">34 263 Kč</w:t>
            </w:r>
          </w:p>
        </w:tc>
        <w:tc>
          <w:tcPr>
            <w:tcW w:w="1000" w:type="dxa"/>
          </w:tcPr>
          <w:p>
            <w:pPr>
              <w:jc w:val="center"/>
            </w:pPr>
            <w:r>
              <w:rPr/>
              <w:t xml:space="preserve">47 140 Kč</w:t>
            </w:r>
          </w:p>
        </w:tc>
        <w:tc>
          <w:tcPr>
            <w:tcW w:w="1000" w:type="dxa"/>
          </w:tcPr>
          <w:p>
            <w:pPr>
              <w:jc w:val="center"/>
            </w:pPr>
            <w:r>
              <w:rPr/>
              <w:t xml:space="preserve">63 482 Kč</w:t>
            </w:r>
          </w:p>
        </w:tc>
        <w:tc>
          <w:tcPr>
            <w:tcW w:w="1000" w:type="dxa"/>
          </w:tcPr>
          <w:p/>
        </w:tc>
        <w:tc>
          <w:tcPr>
            <w:tcW w:w="1000" w:type="dxa"/>
          </w:tcPr>
          <w:p/>
        </w:tc>
        <w:tc>
          <w:tcPr>
            <w:tcW w:w="1000" w:type="dxa"/>
          </w:tcPr>
          <w:p/>
        </w:tc>
      </w:tr>
      <w:tr>
        <w:trPr/>
        <w:tc>
          <w:tcPr>
            <w:tcW w:w="2000" w:type="dxa"/>
          </w:tcPr>
          <w:p>
            <w:pPr/>
            <w:r>
              <w:rPr/>
              <w:t xml:space="preserve">Olomoucký kraj</w:t>
            </w:r>
          </w:p>
        </w:tc>
        <w:tc>
          <w:tcPr>
            <w:tcW w:w="1000" w:type="dxa"/>
          </w:tcPr>
          <w:p>
            <w:pPr>
              <w:jc w:val="center"/>
            </w:pPr>
            <w:r>
              <w:rPr/>
              <w:t xml:space="preserve">32 864 Kč</w:t>
            </w:r>
          </w:p>
        </w:tc>
        <w:tc>
          <w:tcPr>
            <w:tcW w:w="1000" w:type="dxa"/>
          </w:tcPr>
          <w:p>
            <w:pPr>
              <w:jc w:val="center"/>
            </w:pPr>
            <w:r>
              <w:rPr/>
              <w:t xml:space="preserve">43 787 Kč</w:t>
            </w:r>
          </w:p>
        </w:tc>
        <w:tc>
          <w:tcPr>
            <w:tcW w:w="1000" w:type="dxa"/>
          </w:tcPr>
          <w:p>
            <w:pPr>
              <w:jc w:val="center"/>
            </w:pPr>
            <w:r>
              <w:rPr/>
              <w:t xml:space="preserve">74 167 Kč</w:t>
            </w:r>
          </w:p>
        </w:tc>
        <w:tc>
          <w:tcPr>
            <w:tcW w:w="1000" w:type="dxa"/>
          </w:tcPr>
          <w:p/>
        </w:tc>
        <w:tc>
          <w:tcPr>
            <w:tcW w:w="1000" w:type="dxa"/>
          </w:tcPr>
          <w:p/>
        </w:tc>
        <w:tc>
          <w:tcPr>
            <w:tcW w:w="1000" w:type="dxa"/>
          </w:tcPr>
          <w:p/>
        </w:tc>
      </w:tr>
      <w:tr>
        <w:trPr/>
        <w:tc>
          <w:tcPr>
            <w:tcW w:w="2000" w:type="dxa"/>
          </w:tcPr>
          <w:p>
            <w:pPr/>
            <w:r>
              <w:rPr/>
              <w:t xml:space="preserve">Zlínský kraj</w:t>
            </w:r>
          </w:p>
        </w:tc>
        <w:tc>
          <w:tcPr>
            <w:tcW w:w="1000" w:type="dxa"/>
          </w:tcPr>
          <w:p>
            <w:pPr>
              <w:jc w:val="center"/>
            </w:pPr>
            <w:r>
              <w:rPr/>
              <w:t xml:space="preserve">26 567 Kč</w:t>
            </w:r>
          </w:p>
        </w:tc>
        <w:tc>
          <w:tcPr>
            <w:tcW w:w="1000" w:type="dxa"/>
          </w:tcPr>
          <w:p>
            <w:pPr>
              <w:jc w:val="center"/>
            </w:pPr>
            <w:r>
              <w:rPr/>
              <w:t xml:space="preserve">41 320 Kč</w:t>
            </w:r>
          </w:p>
        </w:tc>
        <w:tc>
          <w:tcPr>
            <w:tcW w:w="1000" w:type="dxa"/>
          </w:tcPr>
          <w:p>
            <w:pPr>
              <w:jc w:val="center"/>
            </w:pPr>
            <w:r>
              <w:rPr/>
              <w:t xml:space="preserve">53 949 Kč</w:t>
            </w:r>
          </w:p>
        </w:tc>
        <w:tc>
          <w:tcPr>
            <w:tcW w:w="1000" w:type="dxa"/>
          </w:tcPr>
          <w:p/>
        </w:tc>
        <w:tc>
          <w:tcPr>
            <w:tcW w:w="1000" w:type="dxa"/>
          </w:tcPr>
          <w:p/>
        </w:tc>
        <w:tc>
          <w:tcPr>
            <w:tcW w:w="1000" w:type="dxa"/>
          </w:tcPr>
          <w:p/>
        </w:tc>
      </w:tr>
      <w:tr>
        <w:trPr/>
        <w:tc>
          <w:tcPr>
            <w:tcW w:w="2000" w:type="dxa"/>
          </w:tcPr>
          <w:p>
            <w:pPr/>
            <w:r>
              <w:rPr/>
              <w:t xml:space="preserve">Moravskoslezský kraj</w:t>
            </w:r>
          </w:p>
        </w:tc>
        <w:tc>
          <w:tcPr>
            <w:tcW w:w="1000" w:type="dxa"/>
          </w:tcPr>
          <w:p>
            <w:pPr>
              <w:jc w:val="center"/>
            </w:pPr>
            <w:r>
              <w:rPr/>
              <w:t xml:space="preserve">31 602 Kč</w:t>
            </w:r>
          </w:p>
        </w:tc>
        <w:tc>
          <w:tcPr>
            <w:tcW w:w="1000" w:type="dxa"/>
          </w:tcPr>
          <w:p>
            <w:pPr>
              <w:jc w:val="center"/>
            </w:pPr>
            <w:r>
              <w:rPr/>
              <w:t xml:space="preserve">44 635 Kč</w:t>
            </w:r>
          </w:p>
        </w:tc>
        <w:tc>
          <w:tcPr>
            <w:tcW w:w="1000" w:type="dxa"/>
          </w:tcPr>
          <w:p>
            <w:pPr>
              <w:jc w:val="center"/>
            </w:pPr>
            <w:r>
              <w:rPr/>
              <w:t xml:space="preserve">67 270 Kč</w:t>
            </w:r>
          </w:p>
        </w:tc>
        <w:tc>
          <w:tcPr>
            <w:tcW w:w="1000" w:type="dxa"/>
          </w:tcPr>
          <w:p/>
        </w:tc>
        <w:tc>
          <w:tcPr>
            <w:tcW w:w="1000" w:type="dxa"/>
          </w:tcPr>
          <w:p/>
        </w:tc>
        <w:tc>
          <w:tcPr>
            <w:tcW w:w="1000" w:type="dxa"/>
          </w:tcPr>
          <w:p/>
        </w:tc>
      </w:tr>
    </w:tbl>
    <w:p/>
    <w:p>
      <w:pPr>
        <w:pStyle w:val="Heading3"/>
      </w:pPr>
      <w:bookmarkStart w:id="6" w:name="_Toc6"/>
      <w:r>
        <w:t>Hrubé měsíční mzdy v roce 2025 celkem</w:t>
      </w:r>
      <w:bookmarkEnd w:id="6"/>
    </w:p>
    <w:tbl>
      <w:tblGrid>
        <w:gridCol w:w="1000" w:type="dxa"/>
        <w:gridCol w:w="2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gridSpan w:val="2"/>
          </w:tcPr>
          <w:p/>
        </w:tc>
        <w:tc>
          <w:tcPr>
            <w:tcW w:w="6000" w:type="dxa"/>
            <w:gridSpan w:val="2"/>
          </w:tcPr>
          <w:p>
            <w:pPr>
              <w:jc w:val="center"/>
            </w:pPr>
            <w:r>
              <w:rPr>
                <w:b w:val="1"/>
                <w:bCs w:val="1"/>
              </w:rPr>
              <w:t xml:space="preserve">Medián za ČR celkem</w:t>
            </w:r>
          </w:p>
        </w:tc>
      </w:tr>
      <w:tr>
        <w:trPr/>
        <w:tc>
          <w:tcPr>
            <w:tcW w:w="1000" w:type="dxa"/>
          </w:tcPr>
          <w:p>
            <w:pPr/>
            <w:r>
              <w:rPr>
                <w:b w:val="1"/>
                <w:bCs w:val="1"/>
              </w:rPr>
              <w:t xml:space="preserve">CZ-ISCO</w:t>
            </w:r>
          </w:p>
        </w:tc>
        <w:tc>
          <w:tcPr>
            <w:tcW w:w="2000" w:type="dxa"/>
          </w:tcPr>
          <w:p/>
        </w:tc>
        <w:tc>
          <w:tcPr>
            <w:tcW w:w="3000" w:type="dxa"/>
          </w:tcPr>
          <w:p>
            <w:pPr>
              <w:jc w:val="center"/>
            </w:pPr>
            <w:r>
              <w:rPr>
                <w:b w:val="1"/>
                <w:bCs w:val="1"/>
              </w:rPr>
              <w:t xml:space="preserve">Mzdová sféra</w:t>
            </w:r>
          </w:p>
        </w:tc>
        <w:tc>
          <w:tcPr>
            <w:tcW w:w="3000" w:type="dxa"/>
          </w:tcPr>
          <w:p>
            <w:pPr>
              <w:jc w:val="center"/>
            </w:pPr>
            <w:r>
              <w:rPr>
                <w:b w:val="1"/>
                <w:bCs w:val="1"/>
              </w:rPr>
              <w:t xml:space="preserve">Platová sféra</w:t>
            </w:r>
          </w:p>
        </w:tc>
      </w:tr>
      <w:tr>
        <w:trPr/>
        <w:tc>
          <w:tcPr>
            <w:tcW w:w="1000" w:type="dxa"/>
          </w:tcPr>
          <w:p>
            <w:pPr>
              <w:jc w:val="center"/>
            </w:pPr>
            <w:r>
              <w:rPr/>
              <w:t xml:space="preserve">8342</w:t>
            </w:r>
          </w:p>
        </w:tc>
        <w:tc>
          <w:tcPr>
            <w:tcW w:w="2000" w:type="dxa"/>
          </w:tcPr>
          <w:p>
            <w:pPr/>
            <w:r>
              <w:rPr/>
              <w:t xml:space="preserve">Obsluha železničních, zemních a příbuzných strojů a zařízení</w:t>
            </w:r>
          </w:p>
        </w:tc>
        <w:tc>
          <w:tcPr>
            <w:tcW w:w="1000" w:type="dxa"/>
          </w:tcPr>
          <w:p>
            <w:pPr>
              <w:jc w:val="center"/>
            </w:pPr>
            <w:r>
              <w:rPr/>
              <w:t xml:space="preserve">38 394 Kč</w:t>
            </w:r>
          </w:p>
        </w:tc>
        <w:tc>
          <w:tcPr>
            <w:tcW w:w="1000" w:type="dxa"/>
          </w:tcPr>
          <w:p>
            <w:pPr>
              <w:jc w:val="center"/>
            </w:pPr>
            <w:r>
              <w:rPr/>
              <w:t xml:space="preserve">47 109 Kč</w:t>
            </w:r>
          </w:p>
        </w:tc>
      </w:tr>
      <w:tr>
        <w:trPr/>
        <w:tc>
          <w:tcPr>
            <w:tcW w:w="1000" w:type="dxa"/>
          </w:tcPr>
          <w:p>
            <w:pPr>
              <w:jc w:val="center"/>
            </w:pPr>
            <w:r>
              <w:rPr/>
              <w:t xml:space="preserve">83422</w:t>
            </w:r>
          </w:p>
        </w:tc>
        <w:tc>
          <w:tcPr>
            <w:tcW w:w="2000" w:type="dxa"/>
          </w:tcPr>
          <w:p>
            <w:pPr/>
            <w:r>
              <w:rPr/>
              <w:t xml:space="preserve">Obsluha zemních a příbuzných strojů</w:t>
            </w:r>
          </w:p>
        </w:tc>
        <w:tc>
          <w:tcPr>
            <w:tcW w:w="1000" w:type="dxa"/>
          </w:tcPr>
          <w:p>
            <w:pPr>
              <w:jc w:val="center"/>
            </w:pPr>
            <w:r>
              <w:rPr/>
              <w:t xml:space="preserve">38 394 Kč</w:t>
            </w:r>
          </w:p>
        </w:tc>
        <w:tc>
          <w:tcPr>
            <w:tcW w:w="1000" w:type="dxa"/>
          </w:tcPr>
          <w:p>
            <w:pPr>
              <w:jc w:val="center"/>
            </w:pPr>
            <w:r>
              <w:rPr/>
              <w:t xml:space="preserve">46 529 Kč</w:t>
            </w:r>
          </w:p>
        </w:tc>
      </w:tr>
    </w:tbl>
    <w:p/>
    <w:p>
      <w:pPr>
        <w:pStyle w:val="Heading2"/>
      </w:pPr>
      <w:bookmarkStart w:id="7" w:name="_Toc7"/>
      <w:r>
        <w:t>ESCO</w:t>
      </w:r>
      <w:bookmarkEnd w:id="7"/>
    </w:p>
    <w:tbl>
      <w:tblGrid>
        <w:gridCol w:w="3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jc w:val="center"/>
            </w:pPr>
            <w:r>
              <w:rPr>
                <w:b w:val="1"/>
                <w:bCs w:val="1"/>
              </w:rPr>
              <w:t xml:space="preserve">Kód podskupiny</w:t>
            </w:r>
          </w:p>
        </w:tc>
        <w:tc>
          <w:tcPr>
            <w:tcW w:w="3000" w:type="dxa"/>
          </w:tcPr>
          <w:p>
            <w:pPr>
              <w:jc w:val="center"/>
            </w:pPr>
            <w:r>
              <w:rPr>
                <w:b w:val="1"/>
                <w:bCs w:val="1"/>
              </w:rPr>
              <w:t xml:space="preserve">Název podskupiny v ESCO</w:t>
            </w:r>
          </w:p>
        </w:tc>
        <w:tc>
          <w:tcPr>
            <w:tcW w:w="3000" w:type="dxa"/>
          </w:tcPr>
          <w:p>
            <w:pPr>
              <w:jc w:val="center"/>
            </w:pPr>
            <w:r>
              <w:rPr>
                <w:b w:val="1"/>
                <w:bCs w:val="1"/>
              </w:rPr>
              <w:t xml:space="preserve">URL - podskupiny v ESCO</w:t>
            </w:r>
          </w:p>
        </w:tc>
      </w:tr>
      <w:tr>
        <w:trPr/>
        <w:tc>
          <w:tcPr>
            <w:tcW w:w="3000" w:type="dxa"/>
          </w:tcPr>
          <w:p>
            <w:pPr/>
            <w:r>
              <w:rPr/>
              <w:t xml:space="preserve">8342</w:t>
            </w:r>
          </w:p>
        </w:tc>
        <w:tc>
          <w:tcPr>
            <w:tcW w:w="3000" w:type="dxa"/>
          </w:tcPr>
          <w:p>
            <w:pPr/>
            <w:r>
              <w:rPr/>
              <w:t xml:space="preserve">Obsluha zemních a příbuzných strojů</w:t>
            </w:r>
          </w:p>
        </w:tc>
        <w:tc>
          <w:tcPr>
            <w:tcW w:w="3000" w:type="dxa"/>
          </w:tcPr>
          <w:p>
            <w:pPr/>
            <w:r>
              <w:rPr/>
              <w:t xml:space="preserve">http://data.europa.eu/esco/isco/C8342</w:t>
            </w:r>
          </w:p>
        </w:tc>
      </w:tr>
    </w:tbl>
    <w:p/>
    <w:p/>
    <w:p/>
    <w:p>
      <w:pPr>
        <w:pStyle w:val="Heading2"/>
      </w:pPr>
      <w:bookmarkStart w:id="8" w:name="_Toc8"/>
      <w:r>
        <w:t>Pracovní podmínky</w:t>
      </w:r>
      <w:bookmarkEnd w:id="8"/>
    </w:p>
    <w:p>
      <w:pPr/>
      <w:r>
        <w:rPr/>
        <w:t xml:space="preserve">Rizikové faktory pracovních podmínek a vyskytující se druhy zátěže upravuje nařízení vlády č. 361/2007 Sb., kterým se stanoví podmínky ochrany zdraví při práci, zákon č. 258/2000 Sb., o ochraně veřejného zdraví a zákon č. 262/2006 Sb., zákoník práce. Vždy vyplývají z pracovních podmínek, které se vztahují ke konkrétnímu zaměstnavateli, tudíž se mohou u různých zaměstnavatelů lišit.</w:t>
      </w:r>
    </w:p>
    <w:p/>
    <w:p>
      <w:pPr/>
      <w:r>
        <w:rPr/>
        <w:t xml:space="preserve">Určení míry výskytu faktorů, které mohou ovlivnit zdraví při práci vychází z druhu práce vykonávané na pracovišti. Faktory se zařazují do čtyř kategorií dle míry zdravotního rizika a jeho vlivu na zdraví. O zařazení prací do třetí nebo čtvrté kategorie rozhoduje příslušný orgán ochrany veřejného zdraví.</w:t>
      </w:r>
    </w:p>
    <w:p/>
    <w:p>
      <w:pPr>
        <w:numPr>
          <w:ilvl w:val="0"/>
          <w:numId w:val="5"/>
        </w:numPr>
      </w:pPr>
      <w:r>
        <w:rPr>
          <w:sz w:val="16"/>
          <w:szCs w:val="16"/>
          <w:i w:val="1"/>
          <w:iCs w:val="1"/>
        </w:rPr>
        <w:t xml:space="preserve">1. Stupeň zátěže (minimální zdravotní riziko) - Faktor se při výkonu práce nevyskytuje nebo je zátěž faktorem minimální, vliv faktoru je ze zdravotního hlediska nevýznamný.</w:t>
      </w:r>
    </w:p>
    <w:p>
      <w:pPr>
        <w:numPr>
          <w:ilvl w:val="0"/>
          <w:numId w:val="5"/>
        </w:numPr>
      </w:pPr>
      <w:r>
        <w:rPr>
          <w:sz w:val="16"/>
          <w:szCs w:val="16"/>
          <w:i w:val="1"/>
          <w:iCs w:val="1"/>
        </w:rPr>
        <w:t xml:space="preserve">2. Stupeň zátěže (únosná míra zdravotního rizika) - Ze zdravotního hlediska je míra zátěže faktorem únosná, nepřekračuje limity stanovené předpisy, vliv faktoru je akceptovatelný pro zdravého člověka.</w:t>
      </w:r>
    </w:p>
    <w:p>
      <w:pPr>
        <w:numPr>
          <w:ilvl w:val="0"/>
          <w:numId w:val="5"/>
        </w:numPr>
      </w:pPr>
      <w:r>
        <w:rPr>
          <w:sz w:val="16"/>
          <w:szCs w:val="16"/>
          <w:i w:val="1"/>
          <w:iCs w:val="1"/>
        </w:rPr>
        <w:t xml:space="preserve">3. Stupeň zátěže (významná míra zdravotního rizika) - Úroveň zátěže překračuje stanovené limitní hodnoty expozice (zátěže), na pracovištích je nutná realizace náhradních technických a organizačních opatření, nelze vyloučit negativní vliv na zdraví pracovníků.</w:t>
      </w:r>
    </w:p>
    <w:p>
      <w:pPr>
        <w:numPr>
          <w:ilvl w:val="0"/>
          <w:numId w:val="5"/>
        </w:numPr>
      </w:pPr>
      <w:r>
        <w:rPr>
          <w:sz w:val="16"/>
          <w:szCs w:val="16"/>
          <w:i w:val="1"/>
          <w:iCs w:val="1"/>
        </w:rPr>
        <w:t xml:space="preserve">4. Stupeň zátěže (vysoká míra zdravotního rizika) - Úroveň zátěže vysoce překračuje stanovené limitní hodnoty expozice, na pracovištích musí být dodržován soubor preventivních opatření, častěji dochází k poškození zdraví.</w:t>
      </w:r>
    </w:p>
    <w:p/>
    <w:p/>
    <w:p>
      <w:pPr>
        <w:pStyle w:val="Heading2"/>
      </w:pPr>
      <w:bookmarkStart w:id="9" w:name="_Toc9"/>
      <w:r>
        <w:t>Kvalifikace k výkonu povolání</w:t>
      </w:r>
      <w:bookmarkEnd w:id="9"/>
    </w:p>
    <w:p>
      <w:pPr>
        <w:pStyle w:val="Heading3"/>
      </w:pPr>
      <w:bookmarkStart w:id="10" w:name="_Toc10"/>
      <w:r>
        <w:t>Školní vzdělání</w:t>
      </w:r>
      <w:bookmarkEnd w:id="10"/>
    </w:p>
    <w:p/>
    <w:p>
      <w:pPr>
        <w:pStyle w:val="Heading4"/>
      </w:pPr>
      <w:bookmarkStart w:id="11" w:name="_Toc11"/>
      <w:r>
        <w:t>Nejvhodnější školní přípravu poskytují obory:</w:t>
      </w:r>
      <w:bookmarkEnd w:id="11"/>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r>
        <w:trPr/>
        <w:tc>
          <w:tcPr>
            <w:tcW w:w="2000" w:type="dxa"/>
          </w:tcPr>
          <w:p>
            <w:pPr>
              <w:jc w:val="center"/>
            </w:pPr>
            <w:r>
              <w:rPr/>
              <w:t xml:space="preserve">KKOV</w:t>
            </w:r>
          </w:p>
        </w:tc>
        <w:tc>
          <w:tcPr>
            <w:tcW w:w="5000" w:type="dxa"/>
          </w:tcPr>
          <w:p>
            <w:pPr/>
            <w:r>
              <w:rPr/>
              <w:t xml:space="preserve">Střední vzdělání s výučním listem v oboru stavební provoz</w:t>
            </w:r>
          </w:p>
        </w:tc>
        <w:tc>
          <w:tcPr>
            <w:tcW w:w="2000" w:type="dxa"/>
          </w:tcPr>
          <w:p>
            <w:pPr>
              <w:jc w:val="center"/>
            </w:pPr>
            <w:r>
              <w:rPr/>
              <w:t xml:space="preserve">3644H</w:t>
            </w:r>
          </w:p>
        </w:tc>
      </w:tr>
      <w:tr>
        <w:trPr/>
        <w:tc>
          <w:tcPr>
            <w:tcW w:w="2000" w:type="dxa"/>
          </w:tcPr>
          <w:p>
            <w:pPr>
              <w:jc w:val="center"/>
            </w:pPr>
            <w:r>
              <w:rPr/>
              <w:t xml:space="preserve">KKOV</w:t>
            </w:r>
          </w:p>
        </w:tc>
        <w:tc>
          <w:tcPr>
            <w:tcW w:w="5000" w:type="dxa"/>
          </w:tcPr>
          <w:p>
            <w:pPr/>
            <w:r>
              <w:rPr/>
              <w:t xml:space="preserve">Střední vzdělání s výučním listem v oboru strojník, práce při obsluze strojů</w:t>
            </w:r>
          </w:p>
        </w:tc>
        <w:tc>
          <w:tcPr>
            <w:tcW w:w="2000" w:type="dxa"/>
          </w:tcPr>
          <w:p>
            <w:pPr>
              <w:jc w:val="center"/>
            </w:pPr>
            <w:r>
              <w:rPr/>
              <w:t xml:space="preserve">2365H</w:t>
            </w:r>
          </w:p>
        </w:tc>
      </w:tr>
      <w:tr>
        <w:trPr/>
        <w:tc>
          <w:tcPr>
            <w:tcW w:w="2000" w:type="dxa"/>
          </w:tcPr>
          <w:p>
            <w:pPr>
              <w:jc w:val="center"/>
            </w:pPr>
            <w:r>
              <w:rPr/>
              <w:t xml:space="preserve">RVP</w:t>
            </w:r>
          </w:p>
        </w:tc>
        <w:tc>
          <w:tcPr>
            <w:tcW w:w="5000" w:type="dxa"/>
          </w:tcPr>
          <w:p>
            <w:pPr/>
            <w:r>
              <w:rPr/>
              <w:t xml:space="preserve">Strojník</w:t>
            </w:r>
          </w:p>
        </w:tc>
        <w:tc>
          <w:tcPr>
            <w:tcW w:w="2000" w:type="dxa"/>
          </w:tcPr>
          <w:p>
            <w:pPr>
              <w:jc w:val="center"/>
            </w:pPr>
            <w:r>
              <w:rPr/>
              <w:t xml:space="preserve">23-65-H/01</w:t>
            </w:r>
          </w:p>
        </w:tc>
      </w:tr>
    </w:tbl>
    <w:p/>
    <w:p>
      <w:pPr>
        <w:pStyle w:val="Heading4"/>
      </w:pPr>
      <w:bookmarkStart w:id="12" w:name="_Toc12"/>
      <w:r>
        <w:t>Vhodnou školní přípravu poskytují také obory:</w:t>
      </w:r>
      <w:bookmarkEnd w:id="12"/>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r>
        <w:trPr/>
        <w:tc>
          <w:tcPr>
            <w:tcW w:w="2000" w:type="dxa"/>
          </w:tcPr>
          <w:p>
            <w:pPr>
              <w:jc w:val="center"/>
            </w:pPr>
            <w:r>
              <w:rPr/>
              <w:t xml:space="preserve">KKOV</w:t>
            </w:r>
          </w:p>
        </w:tc>
        <w:tc>
          <w:tcPr>
            <w:tcW w:w="5000" w:type="dxa"/>
          </w:tcPr>
          <w:p>
            <w:pPr/>
            <w:r>
              <w:rPr/>
              <w:t xml:space="preserve">Střední vzdělání bez maturitní zkoušky i výučního listu v oboru dopravní a vodohospodářské stavitelství</w:t>
            </w:r>
          </w:p>
        </w:tc>
        <w:tc>
          <w:tcPr>
            <w:tcW w:w="2000" w:type="dxa"/>
          </w:tcPr>
          <w:p>
            <w:pPr>
              <w:jc w:val="center"/>
            </w:pPr>
            <w:r>
              <w:rPr/>
              <w:t xml:space="preserve">3642J</w:t>
            </w:r>
          </w:p>
        </w:tc>
      </w:tr>
      <w:tr>
        <w:trPr/>
        <w:tc>
          <w:tcPr>
            <w:tcW w:w="2000" w:type="dxa"/>
          </w:tcPr>
          <w:p>
            <w:pPr>
              <w:jc w:val="center"/>
            </w:pPr>
            <w:r>
              <w:rPr/>
              <w:t xml:space="preserve">KKOV</w:t>
            </w:r>
          </w:p>
        </w:tc>
        <w:tc>
          <w:tcPr>
            <w:tcW w:w="5000" w:type="dxa"/>
          </w:tcPr>
          <w:p>
            <w:pPr/>
            <w:r>
              <w:rPr/>
              <w:t xml:space="preserve">Střední vzdělání s výučním listem v oboru strojník, práce při obsluze strojů</w:t>
            </w:r>
          </w:p>
        </w:tc>
        <w:tc>
          <w:tcPr>
            <w:tcW w:w="2000" w:type="dxa"/>
          </w:tcPr>
          <w:p>
            <w:pPr>
              <w:jc w:val="center"/>
            </w:pPr>
            <w:r>
              <w:rPr/>
              <w:t xml:space="preserve">2365E</w:t>
            </w:r>
          </w:p>
        </w:tc>
      </w:tr>
      <w:tr>
        <w:trPr/>
        <w:tc>
          <w:tcPr>
            <w:tcW w:w="2000" w:type="dxa"/>
          </w:tcPr>
          <w:p>
            <w:pPr>
              <w:jc w:val="center"/>
            </w:pPr>
            <w:r>
              <w:rPr/>
              <w:t xml:space="preserve">RVP</w:t>
            </w:r>
          </w:p>
        </w:tc>
        <w:tc>
          <w:tcPr>
            <w:tcW w:w="5000" w:type="dxa"/>
          </w:tcPr>
          <w:p>
            <w:pPr/>
            <w:r>
              <w:rPr/>
              <w:t xml:space="preserve">Strojírenství a strojírenská výroba</w:t>
            </w:r>
          </w:p>
        </w:tc>
        <w:tc>
          <w:tcPr>
            <w:tcW w:w="2000" w:type="dxa"/>
          </w:tcPr>
          <w:p>
            <w:pPr>
              <w:jc w:val="center"/>
            </w:pPr>
            <w:r>
              <w:rPr/>
              <w:t xml:space="preserve">23-xx-H/xx</w:t>
            </w:r>
          </w:p>
        </w:tc>
      </w:tr>
      <w:tr>
        <w:trPr/>
        <w:tc>
          <w:tcPr>
            <w:tcW w:w="2000" w:type="dxa"/>
          </w:tcPr>
          <w:p>
            <w:pPr>
              <w:jc w:val="center"/>
            </w:pPr>
            <w:r>
              <w:rPr/>
              <w:t xml:space="preserve">RVP</w:t>
            </w:r>
          </w:p>
        </w:tc>
        <w:tc>
          <w:tcPr>
            <w:tcW w:w="5000" w:type="dxa"/>
          </w:tcPr>
          <w:p>
            <w:pPr/>
            <w:r>
              <w:rPr/>
              <w:t xml:space="preserve">Speciální a interdisciplinární obory</w:t>
            </w:r>
          </w:p>
        </w:tc>
        <w:tc>
          <w:tcPr>
            <w:tcW w:w="2000" w:type="dxa"/>
          </w:tcPr>
          <w:p>
            <w:pPr>
              <w:jc w:val="center"/>
            </w:pPr>
            <w:r>
              <w:rPr/>
              <w:t xml:space="preserve">39-xx-H/xx</w:t>
            </w:r>
          </w:p>
        </w:tc>
      </w:tr>
    </w:tbl>
    <w:p>
      <w:pPr>
        <w:pStyle w:val="Heading3"/>
      </w:pPr>
      <w:bookmarkStart w:id="13" w:name="_Toc13"/>
      <w:r>
        <w:t>Legislativní požadavky</w:t>
      </w:r>
      <w:bookmarkEnd w:id="13"/>
    </w:p>
    <w:p>
      <w:pPr>
        <w:numPr>
          <w:ilvl w:val="0"/>
          <w:numId w:val="5"/>
        </w:numPr>
      </w:pPr>
      <w:r>
        <w:rPr/>
        <w:t xml:space="preserve">povinné - Obsluha stavebních strojů - odborná způsobilost podle vyhlášky č. 77/1965 Sb., o výcviku, způsobilosti a registraci obsluh stavebních strojů  </w:t>
      </w:r>
    </w:p>
    <w:p>
      <w:pPr>
        <w:numPr>
          <w:ilvl w:val="0"/>
          <w:numId w:val="5"/>
        </w:numPr>
      </w:pPr>
      <w:r>
        <w:rPr/>
        <w:t xml:space="preserve">doporučené - Řízení osobních automobilů - řidičský průkaz sk. B podle vyhlášky č. 31/2001 Sb., o řidičských průkazech a o registru řidičů</w:t>
      </w:r>
    </w:p>
    <w:p>
      <w:pPr>
        <w:numPr>
          <w:ilvl w:val="0"/>
          <w:numId w:val="5"/>
        </w:numPr>
      </w:pPr>
      <w:r>
        <w:rPr/>
        <w:t xml:space="preserve">povinné - Dopravně psychologické vyšetření řidičů podle zákona č. 361/2000 Sb., o provozu na pozemních komunikacích</w:t>
      </w:r>
    </w:p>
    <w:p/>
    <w:p/>
    <w:p>
      <w:pPr>
        <w:pStyle w:val="Heading2"/>
      </w:pPr>
      <w:bookmarkStart w:id="14" w:name="_Toc14"/>
      <w:r>
        <w:t>Kompetenční požadavky</w:t>
      </w:r>
      <w:bookmarkEnd w:id="14"/>
    </w:p>
    <w:p>
      <w:pPr>
        <w:pStyle w:val="Heading3"/>
      </w:pPr>
      <w:bookmarkStart w:id="15" w:name="_Toc15"/>
      <w:r>
        <w:t>Odborné dovednosti</w:t>
      </w:r>
      <w:bookmarkEnd w:id="15"/>
    </w:p>
    <w:tbl>
      <w:tblGrid>
        <w:gridCol w:w="2000" w:type="dxa"/>
        <w:gridCol w:w="3000" w:type="dxa"/>
        <w:gridCol w:w="2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3000" w:type="dxa"/>
          </w:tcPr>
          <w:p>
            <w:pPr>
              <w:jc w:val="center"/>
            </w:pPr>
            <w:r>
              <w:rPr>
                <w:b w:val="1"/>
                <w:bCs w:val="1"/>
              </w:rPr>
              <w:t xml:space="preserve">Název</w:t>
            </w:r>
          </w:p>
        </w:tc>
        <w:tc>
          <w:tcPr>
            <w:tcW w:w="2000" w:type="dxa"/>
          </w:tcPr>
          <w:p>
            <w:pPr>
              <w:jc w:val="center"/>
            </w:pPr>
            <w:r>
              <w:rPr>
                <w:b w:val="1"/>
                <w:bCs w:val="1"/>
              </w:rPr>
              <w:t xml:space="preserve">Úroveň 1-8</w:t>
            </w:r>
          </w:p>
        </w:tc>
        <w:tc>
          <w:tcPr>
            <w:tcW w:w="2000" w:type="dxa"/>
          </w:tcPr>
          <w:p>
            <w:pPr/>
            <w:r>
              <w:rPr>
                <w:b w:val="1"/>
                <w:bCs w:val="1"/>
              </w:rPr>
              <w:t xml:space="preserve">Vhodnost</w:t>
            </w:r>
          </w:p>
        </w:tc>
      </w:tr>
      <w:tr>
        <w:trPr/>
        <w:tc>
          <w:tcPr>
            <w:tcW w:w="2000" w:type="dxa"/>
          </w:tcPr>
          <w:p>
            <w:pPr>
              <w:jc w:val="center"/>
            </w:pPr>
            <w:r>
              <w:rPr/>
              <w:t xml:space="preserve">g11.D.9904</w:t>
            </w:r>
          </w:p>
        </w:tc>
        <w:tc>
          <w:tcPr>
            <w:tcW w:w="3000" w:type="dxa"/>
          </w:tcPr>
          <w:p>
            <w:pPr/>
            <w:r>
              <w:rPr/>
              <w:t xml:space="preserve">Orientace v bezpečnosti práce ve stavebnictví</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g11.D.1001</w:t>
            </w:r>
          </w:p>
        </w:tc>
        <w:tc>
          <w:tcPr>
            <w:tcW w:w="3000" w:type="dxa"/>
          </w:tcPr>
          <w:p>
            <w:pPr/>
            <w:r>
              <w:rPr/>
              <w:t xml:space="preserve">Orientace ve stavebních výkresech a dokumentaci</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g11.D.1364</w:t>
            </w:r>
          </w:p>
        </w:tc>
        <w:tc>
          <w:tcPr>
            <w:tcW w:w="3000" w:type="dxa"/>
          </w:tcPr>
          <w:p>
            <w:pPr/>
            <w:r>
              <w:rPr/>
              <w:t xml:space="preserve">Orientace v terénu na staveništi</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g11.D.1021</w:t>
            </w:r>
          </w:p>
        </w:tc>
        <w:tc>
          <w:tcPr>
            <w:tcW w:w="3000" w:type="dxa"/>
          </w:tcPr>
          <w:p>
            <w:pPr/>
            <w:r>
              <w:rPr/>
              <w:t xml:space="preserve">Orientace ve vyhláškách, normách a technických předpisech týkajících se řízení a obsluhy příslušných druhů stavebních strojů a zařízení</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g11.D.8094</w:t>
            </w:r>
          </w:p>
        </w:tc>
        <w:tc>
          <w:tcPr>
            <w:tcW w:w="3000" w:type="dxa"/>
          </w:tcPr>
          <w:p>
            <w:pPr/>
            <w:r>
              <w:rPr/>
              <w:t xml:space="preserve">Evidování technických dat o průběhu a výsledcích práce se stavebními stroji a zařízeními</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g12.B.5625</w:t>
            </w:r>
          </w:p>
        </w:tc>
        <w:tc>
          <w:tcPr>
            <w:tcW w:w="3000" w:type="dxa"/>
          </w:tcPr>
          <w:p>
            <w:pPr/>
            <w:r>
              <w:rPr/>
              <w:t xml:space="preserve">Ošetřování a údržba pásových a kolových nakladačů</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g12.B.5626</w:t>
            </w:r>
          </w:p>
        </w:tc>
        <w:tc>
          <w:tcPr>
            <w:tcW w:w="3000" w:type="dxa"/>
          </w:tcPr>
          <w:p>
            <w:pPr/>
            <w:r>
              <w:rPr/>
              <w:t xml:space="preserve">Řízení a obsluha pásových a kolových nakladačů</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g12.D.2588</w:t>
            </w:r>
          </w:p>
        </w:tc>
        <w:tc>
          <w:tcPr>
            <w:tcW w:w="3000" w:type="dxa"/>
          </w:tcPr>
          <w:p>
            <w:pPr/>
            <w:r>
              <w:rPr/>
              <w:t xml:space="preserve">Volba postupu práce a technologických podmínek při přemisťování materiálu při použití stavebních strojů a zařízení</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g12.D.2589</w:t>
            </w:r>
          </w:p>
        </w:tc>
        <w:tc>
          <w:tcPr>
            <w:tcW w:w="3000" w:type="dxa"/>
          </w:tcPr>
          <w:p>
            <w:pPr/>
            <w:r>
              <w:rPr/>
              <w:t xml:space="preserve">Orientace v technických podkladech a návodech pro obsluhu nakládacích a vykládacích strojů kolových a pásových</w:t>
            </w:r>
          </w:p>
        </w:tc>
        <w:tc>
          <w:tcPr>
            <w:tcW w:w="2000" w:type="dxa"/>
          </w:tcPr>
          <w:p>
            <w:pPr>
              <w:jc w:val="center"/>
            </w:pPr>
            <w:r>
              <w:rPr/>
              <w:t xml:space="preserve">3</w:t>
            </w:r>
          </w:p>
        </w:tc>
        <w:tc>
          <w:tcPr>
            <w:tcW w:w="2000" w:type="dxa"/>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6" w:name="_Toc16"/>
      <w:r>
        <w:t>Odborné znalosti</w:t>
      </w:r>
      <w:bookmarkEnd w:id="16"/>
    </w:p>
    <w:tbl>
      <w:tblGrid>
        <w:gridCol w:w="2000" w:type="dxa"/>
        <w:gridCol w:w="3000" w:type="dxa"/>
        <w:gridCol w:w="2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3000" w:type="dxa"/>
          </w:tcPr>
          <w:p>
            <w:pPr>
              <w:jc w:val="center"/>
            </w:pPr>
            <w:r>
              <w:rPr>
                <w:b w:val="1"/>
                <w:bCs w:val="1"/>
              </w:rPr>
              <w:t xml:space="preserve">Název</w:t>
            </w:r>
          </w:p>
        </w:tc>
        <w:tc>
          <w:tcPr>
            <w:tcW w:w="2000" w:type="dxa"/>
          </w:tcPr>
          <w:p>
            <w:pPr>
              <w:jc w:val="center"/>
            </w:pPr>
            <w:r>
              <w:rPr>
                <w:b w:val="1"/>
                <w:bCs w:val="1"/>
              </w:rPr>
              <w:t xml:space="preserve">Úroveň 1-8</w:t>
            </w:r>
          </w:p>
        </w:tc>
        <w:tc>
          <w:tcPr>
            <w:tcW w:w="2000" w:type="dxa"/>
          </w:tcPr>
          <w:p>
            <w:pPr/>
            <w:r>
              <w:rPr>
                <w:b w:val="1"/>
                <w:bCs w:val="1"/>
              </w:rPr>
              <w:t xml:space="preserve">Vhodnost</w:t>
            </w:r>
          </w:p>
        </w:tc>
      </w:tr>
      <w:tr>
        <w:trPr/>
        <w:tc>
          <w:tcPr>
            <w:tcW w:w="2000" w:type="dxa"/>
          </w:tcPr>
          <w:p>
            <w:pPr>
              <w:jc w:val="center"/>
            </w:pPr>
            <w:r>
              <w:rPr/>
              <w:t xml:space="preserve">g11._.0024</w:t>
            </w:r>
          </w:p>
        </w:tc>
        <w:tc>
          <w:tcPr>
            <w:tcW w:w="3000" w:type="dxa"/>
          </w:tcPr>
          <w:p>
            <w:pPr/>
            <w:r>
              <w:rPr/>
              <w:t xml:space="preserve">stavební výkresy</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g12._.0069</w:t>
            </w:r>
          </w:p>
        </w:tc>
        <w:tc>
          <w:tcPr>
            <w:tcW w:w="3000" w:type="dxa"/>
          </w:tcPr>
          <w:p>
            <w:pPr/>
            <w:r>
              <w:rPr/>
              <w:t xml:space="preserve">stroje a zařízení pro stavební práce a jejich obsluha - podle konkrétní specializace</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j15._.0002</w:t>
            </w:r>
          </w:p>
        </w:tc>
        <w:tc>
          <w:tcPr>
            <w:tcW w:w="3000" w:type="dxa"/>
          </w:tcPr>
          <w:p>
            <w:pPr/>
            <w:r>
              <w:rPr/>
              <w:t xml:space="preserve">geologie</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j15._.0006</w:t>
            </w:r>
          </w:p>
        </w:tc>
        <w:tc>
          <w:tcPr>
            <w:tcW w:w="3000" w:type="dxa"/>
          </w:tcPr>
          <w:p>
            <w:pPr/>
            <w:r>
              <w:rPr/>
              <w:t xml:space="preserve">geomechanika</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g12._.0018</w:t>
            </w:r>
          </w:p>
        </w:tc>
        <w:tc>
          <w:tcPr>
            <w:tcW w:w="3000" w:type="dxa"/>
          </w:tcPr>
          <w:p>
            <w:pPr/>
            <w:r>
              <w:rPr/>
              <w:t xml:space="preserve">principy obsluhy a řízení kolových a pásových nakladačů</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g12._.0001</w:t>
            </w:r>
          </w:p>
        </w:tc>
        <w:tc>
          <w:tcPr>
            <w:tcW w:w="3000" w:type="dxa"/>
          </w:tcPr>
          <w:p>
            <w:pPr/>
            <w:r>
              <w:rPr/>
              <w:t xml:space="preserve">vyhlášky související s provozem stavebních strojů a zařízení</w:t>
            </w:r>
          </w:p>
        </w:tc>
        <w:tc>
          <w:tcPr>
            <w:tcW w:w="2000" w:type="dxa"/>
          </w:tcPr>
          <w:p>
            <w:pPr>
              <w:jc w:val="center"/>
            </w:pPr>
            <w:r>
              <w:rPr/>
              <w:t xml:space="preserve">3</w:t>
            </w:r>
          </w:p>
        </w:tc>
        <w:tc>
          <w:tcPr>
            <w:tcW w:w="2000" w:type="dxa"/>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7" w:name="_Toc17"/>
      <w:r>
        <w:t>Digitální kompetence</w:t>
      </w:r>
      <w:bookmarkEnd w:id="17"/>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5000" w:type="dxa"/>
          </w:tcPr>
          <w:p>
            <w:pPr>
              <w:jc w:val="center"/>
            </w:pPr>
            <w:r>
              <w:rPr>
                <w:b w:val="1"/>
                <w:bCs w:val="1"/>
              </w:rPr>
              <w:t xml:space="preserve">Název</w:t>
            </w:r>
          </w:p>
        </w:tc>
        <w:tc>
          <w:tcPr>
            <w:tcW w:w="2000" w:type="dxa"/>
          </w:tcPr>
          <w:p>
            <w:pPr>
              <w:jc w:val="center"/>
            </w:pPr>
            <w:r>
              <w:rPr>
                <w:b w:val="1"/>
                <w:bCs w:val="1"/>
              </w:rPr>
              <w:t xml:space="preserve">Úroveň 1-4</w:t>
            </w:r>
          </w:p>
        </w:tc>
      </w:tr>
      <w:tr>
        <w:trPr/>
        <w:tc>
          <w:tcPr>
            <w:tcW w:w="2000" w:type="dxa"/>
          </w:tcPr>
          <w:p>
            <w:pPr>
              <w:jc w:val="center"/>
            </w:pPr>
            <w:r>
              <w:rPr/>
              <w:t xml:space="preserve">1.1</w:t>
            </w:r>
          </w:p>
        </w:tc>
        <w:tc>
          <w:tcPr>
            <w:tcW w:w="5000" w:type="dxa"/>
          </w:tcPr>
          <w:p>
            <w:pPr/>
            <w:r>
              <w:rPr/>
              <w:t xml:space="preserve">Prohlížení, vyhledávání a filtrování dat, informací a digitálního obsahu  </w:t>
            </w:r>
          </w:p>
        </w:tc>
        <w:tc>
          <w:tcPr>
            <w:tcW w:w="2000" w:type="dxa"/>
          </w:tcPr>
          <w:p>
            <w:pPr>
              <w:jc w:val="center"/>
            </w:pPr>
            <w:r>
              <w:rPr/>
              <w:t xml:space="preserve">1</w:t>
            </w:r>
          </w:p>
        </w:tc>
      </w:tr>
      <w:tr>
        <w:trPr/>
        <w:tc>
          <w:tcPr>
            <w:tcW w:w="2000" w:type="dxa"/>
          </w:tcPr>
          <w:p>
            <w:pPr>
              <w:jc w:val="center"/>
            </w:pPr>
            <w:r>
              <w:rPr/>
              <w:t xml:space="preserve">5.2</w:t>
            </w:r>
          </w:p>
        </w:tc>
        <w:tc>
          <w:tcPr>
            <w:tcW w:w="5000" w:type="dxa"/>
          </w:tcPr>
          <w:p>
            <w:pPr/>
            <w:r>
              <w:rPr/>
              <w:t xml:space="preserve">Identifikace potřeb a výběr vhodných technologií  </w:t>
            </w:r>
          </w:p>
        </w:tc>
        <w:tc>
          <w:tcPr>
            <w:tcW w:w="2000" w:type="dxa"/>
          </w:tcPr>
          <w:p>
            <w:pPr>
              <w:jc w:val="center"/>
            </w:pPr>
            <w:r>
              <w:rPr/>
              <w:t xml:space="preserve">1</w:t>
            </w:r>
          </w:p>
        </w:tc>
      </w:tr>
      <w:tr>
        <w:trPr/>
        <w:tc>
          <w:tcPr>
            <w:tcW w:w="2000" w:type="dxa"/>
          </w:tcPr>
          <w:p>
            <w:pPr>
              <w:jc w:val="center"/>
            </w:pPr>
            <w:r>
              <w:rPr/>
              <w:t xml:space="preserve">5.1</w:t>
            </w:r>
          </w:p>
        </w:tc>
        <w:tc>
          <w:tcPr>
            <w:tcW w:w="5000" w:type="dxa"/>
          </w:tcPr>
          <w:p>
            <w:pPr/>
            <w:r>
              <w:rPr/>
              <w:t xml:space="preserve">Řešení technických problémů  </w:t>
            </w:r>
          </w:p>
        </w:tc>
        <w:tc>
          <w:tcPr>
            <w:tcW w:w="2000" w:type="dxa"/>
          </w:tcPr>
          <w:p>
            <w:pPr>
              <w:jc w:val="center"/>
            </w:pPr>
            <w:r>
              <w:rPr/>
              <w:t xml:space="preserve">2</w:t>
            </w:r>
          </w:p>
        </w:tc>
      </w:tr>
      <w:tr>
        <w:trPr/>
        <w:tc>
          <w:tcPr>
            <w:tcW w:w="2000" w:type="dxa"/>
          </w:tcPr>
          <w:p>
            <w:pPr>
              <w:jc w:val="center"/>
            </w:pPr>
            <w:r>
              <w:rPr/>
              <w:t xml:space="preserve">4.4</w:t>
            </w:r>
          </w:p>
        </w:tc>
        <w:tc>
          <w:tcPr>
            <w:tcW w:w="5000" w:type="dxa"/>
          </w:tcPr>
          <w:p>
            <w:pPr/>
            <w:r>
              <w:rPr/>
              <w:t xml:space="preserve">Ochrana životního prostředí  </w:t>
            </w:r>
          </w:p>
        </w:tc>
        <w:tc>
          <w:tcPr>
            <w:tcW w:w="2000" w:type="dxa"/>
          </w:tcPr>
          <w:p>
            <w:pPr>
              <w:jc w:val="center"/>
            </w:pPr>
            <w:r>
              <w:rPr/>
              <w:t xml:space="preserve">1</w:t>
            </w:r>
          </w:p>
        </w:tc>
      </w:tr>
      <w:tr>
        <w:trPr/>
        <w:tc>
          <w:tcPr>
            <w:tcW w:w="2000" w:type="dxa"/>
          </w:tcPr>
          <w:p>
            <w:pPr>
              <w:jc w:val="center"/>
            </w:pPr>
            <w:r>
              <w:rPr/>
              <w:t xml:space="preserve">4.3</w:t>
            </w:r>
          </w:p>
        </w:tc>
        <w:tc>
          <w:tcPr>
            <w:tcW w:w="5000" w:type="dxa"/>
          </w:tcPr>
          <w:p>
            <w:pPr/>
            <w:r>
              <w:rPr/>
              <w:t xml:space="preserve">Ochrana zdraví a duševní pohody  </w:t>
            </w:r>
          </w:p>
        </w:tc>
        <w:tc>
          <w:tcPr>
            <w:tcW w:w="2000" w:type="dxa"/>
          </w:tcPr>
          <w:p>
            <w:pPr>
              <w:jc w:val="center"/>
            </w:pPr>
            <w:r>
              <w:rPr/>
              <w:t xml:space="preserve">1</w:t>
            </w:r>
          </w:p>
        </w:tc>
      </w:tr>
      <w:tr>
        <w:trPr/>
        <w:tc>
          <w:tcPr>
            <w:tcW w:w="2000" w:type="dxa"/>
          </w:tcPr>
          <w:p>
            <w:pPr>
              <w:jc w:val="center"/>
            </w:pPr>
            <w:r>
              <w:rPr/>
              <w:t xml:space="preserve">4.2</w:t>
            </w:r>
          </w:p>
        </w:tc>
        <w:tc>
          <w:tcPr>
            <w:tcW w:w="5000" w:type="dxa"/>
          </w:tcPr>
          <w:p>
            <w:pPr/>
            <w:r>
              <w:rPr/>
              <w:t xml:space="preserve">Ochrana osobních dat a soukromí  </w:t>
            </w:r>
          </w:p>
        </w:tc>
        <w:tc>
          <w:tcPr>
            <w:tcW w:w="2000" w:type="dxa"/>
          </w:tcPr>
          <w:p>
            <w:pPr>
              <w:jc w:val="center"/>
            </w:pPr>
            <w:r>
              <w:rPr/>
              <w:t xml:space="preserve">1</w:t>
            </w:r>
          </w:p>
        </w:tc>
      </w:tr>
      <w:tr>
        <w:trPr/>
        <w:tc>
          <w:tcPr>
            <w:tcW w:w="2000" w:type="dxa"/>
          </w:tcPr>
          <w:p>
            <w:pPr>
              <w:jc w:val="center"/>
            </w:pPr>
            <w:r>
              <w:rPr/>
              <w:t xml:space="preserve">4.1</w:t>
            </w:r>
          </w:p>
        </w:tc>
        <w:tc>
          <w:tcPr>
            <w:tcW w:w="5000" w:type="dxa"/>
          </w:tcPr>
          <w:p>
            <w:pPr/>
            <w:r>
              <w:rPr/>
              <w:t xml:space="preserve">Ochrana zařízení  </w:t>
            </w:r>
          </w:p>
        </w:tc>
        <w:tc>
          <w:tcPr>
            <w:tcW w:w="2000" w:type="dxa"/>
          </w:tcPr>
          <w:p>
            <w:pPr>
              <w:jc w:val="center"/>
            </w:pPr>
            <w:r>
              <w:rPr/>
              <w:t xml:space="preserve">1</w:t>
            </w:r>
          </w:p>
        </w:tc>
      </w:tr>
      <w:tr>
        <w:trPr/>
        <w:tc>
          <w:tcPr>
            <w:tcW w:w="2000" w:type="dxa"/>
          </w:tcPr>
          <w:p>
            <w:pPr>
              <w:jc w:val="center"/>
            </w:pPr>
            <w:r>
              <w:rPr/>
              <w:t xml:space="preserve">3.1</w:t>
            </w:r>
          </w:p>
        </w:tc>
        <w:tc>
          <w:tcPr>
            <w:tcW w:w="5000" w:type="dxa"/>
          </w:tcPr>
          <w:p>
            <w:pPr/>
            <w:r>
              <w:rPr/>
              <w:t xml:space="preserve">Tvorba digitálního obsahu  </w:t>
            </w:r>
          </w:p>
        </w:tc>
        <w:tc>
          <w:tcPr>
            <w:tcW w:w="2000" w:type="dxa"/>
          </w:tcPr>
          <w:p>
            <w:pPr>
              <w:jc w:val="center"/>
            </w:pPr>
            <w:r>
              <w:rPr/>
              <w:t xml:space="preserve">1</w:t>
            </w:r>
          </w:p>
        </w:tc>
      </w:tr>
      <w:tr>
        <w:trPr/>
        <w:tc>
          <w:tcPr>
            <w:tcW w:w="2000" w:type="dxa"/>
          </w:tcPr>
          <w:p>
            <w:pPr>
              <w:jc w:val="center"/>
            </w:pPr>
            <w:r>
              <w:rPr/>
              <w:t xml:space="preserve">2.5</w:t>
            </w:r>
          </w:p>
        </w:tc>
        <w:tc>
          <w:tcPr>
            <w:tcW w:w="5000" w:type="dxa"/>
          </w:tcPr>
          <w:p>
            <w:pPr/>
            <w:r>
              <w:rPr/>
              <w:t xml:space="preserve">Netiketa  </w:t>
            </w:r>
          </w:p>
        </w:tc>
        <w:tc>
          <w:tcPr>
            <w:tcW w:w="2000" w:type="dxa"/>
          </w:tcPr>
          <w:p>
            <w:pPr>
              <w:jc w:val="center"/>
            </w:pPr>
            <w:r>
              <w:rPr/>
              <w:t xml:space="preserve">1</w:t>
            </w:r>
          </w:p>
        </w:tc>
      </w:tr>
      <w:tr>
        <w:trPr/>
        <w:tc>
          <w:tcPr>
            <w:tcW w:w="2000" w:type="dxa"/>
          </w:tcPr>
          <w:p>
            <w:pPr>
              <w:jc w:val="center"/>
            </w:pPr>
            <w:r>
              <w:rPr/>
              <w:t xml:space="preserve">2.2</w:t>
            </w:r>
          </w:p>
        </w:tc>
        <w:tc>
          <w:tcPr>
            <w:tcW w:w="5000" w:type="dxa"/>
          </w:tcPr>
          <w:p>
            <w:pPr/>
            <w:r>
              <w:rPr/>
              <w:t xml:space="preserve">Sdílení prostřednictvím digitálních technologií  </w:t>
            </w:r>
          </w:p>
        </w:tc>
        <w:tc>
          <w:tcPr>
            <w:tcW w:w="2000" w:type="dxa"/>
          </w:tcPr>
          <w:p>
            <w:pPr>
              <w:jc w:val="center"/>
            </w:pPr>
            <w:r>
              <w:rPr/>
              <w:t xml:space="preserve">1</w:t>
            </w:r>
          </w:p>
        </w:tc>
      </w:tr>
      <w:tr>
        <w:trPr/>
        <w:tc>
          <w:tcPr>
            <w:tcW w:w="2000" w:type="dxa"/>
          </w:tcPr>
          <w:p>
            <w:pPr>
              <w:jc w:val="center"/>
            </w:pPr>
            <w:r>
              <w:rPr/>
              <w:t xml:space="preserve">2.1</w:t>
            </w:r>
          </w:p>
        </w:tc>
        <w:tc>
          <w:tcPr>
            <w:tcW w:w="5000" w:type="dxa"/>
          </w:tcPr>
          <w:p>
            <w:pPr/>
            <w:r>
              <w:rPr/>
              <w:t xml:space="preserve">Interakce prostřednictvím digitálních technologií  </w:t>
            </w:r>
          </w:p>
        </w:tc>
        <w:tc>
          <w:tcPr>
            <w:tcW w:w="2000" w:type="dxa"/>
          </w:tcPr>
          <w:p>
            <w:pPr>
              <w:jc w:val="center"/>
            </w:pPr>
            <w:r>
              <w:rPr/>
              <w:t xml:space="preserve">1</w:t>
            </w:r>
          </w:p>
        </w:tc>
      </w:tr>
      <w:tr>
        <w:trPr/>
        <w:tc>
          <w:tcPr>
            <w:tcW w:w="2000" w:type="dxa"/>
          </w:tcPr>
          <w:p>
            <w:pPr>
              <w:jc w:val="center"/>
            </w:pPr>
            <w:r>
              <w:rPr/>
              <w:t xml:space="preserve">1.3</w:t>
            </w:r>
          </w:p>
        </w:tc>
        <w:tc>
          <w:tcPr>
            <w:tcW w:w="5000" w:type="dxa"/>
          </w:tcPr>
          <w:p>
            <w:pPr/>
            <w:r>
              <w:rPr/>
              <w:t xml:space="preserve">Správa dat, informací a digitálního obsahu  </w:t>
            </w:r>
          </w:p>
        </w:tc>
        <w:tc>
          <w:tcPr>
            <w:tcW w:w="2000" w:type="dxa"/>
          </w:tcPr>
          <w:p>
            <w:pPr>
              <w:jc w:val="center"/>
            </w:pPr>
            <w:r>
              <w:rPr/>
              <w:t xml:space="preserve">1</w:t>
            </w:r>
          </w:p>
        </w:tc>
      </w:tr>
      <w:tr>
        <w:trPr/>
        <w:tc>
          <w:tcPr>
            <w:tcW w:w="2000" w:type="dxa"/>
          </w:tcPr>
          <w:p>
            <w:pPr>
              <w:jc w:val="center"/>
            </w:pPr>
            <w:r>
              <w:rPr/>
              <w:t xml:space="preserve">1.2</w:t>
            </w:r>
          </w:p>
        </w:tc>
        <w:tc>
          <w:tcPr>
            <w:tcW w:w="5000" w:type="dxa"/>
          </w:tcPr>
          <w:p>
            <w:pPr/>
            <w:r>
              <w:rPr/>
              <w:t xml:space="preserve">Hodnocení dat, informací a digitálního obsahu  </w:t>
            </w:r>
          </w:p>
        </w:tc>
        <w:tc>
          <w:tcPr>
            <w:tcW w:w="2000" w:type="dxa"/>
          </w:tcPr>
          <w:p>
            <w:pPr>
              <w:jc w:val="center"/>
            </w:pPr>
            <w:r>
              <w:rPr/>
              <w:t xml:space="preserve">1</w:t>
            </w:r>
          </w:p>
        </w:tc>
      </w:tr>
      <w:tr>
        <w:trPr/>
        <w:tc>
          <w:tcPr>
            <w:tcW w:w="2000" w:type="dxa"/>
          </w:tcPr>
          <w:p>
            <w:pPr>
              <w:jc w:val="center"/>
            </w:pPr>
            <w:r>
              <w:rPr/>
              <w:t xml:space="preserve">5.4</w:t>
            </w:r>
          </w:p>
        </w:tc>
        <w:tc>
          <w:tcPr>
            <w:tcW w:w="5000" w:type="dxa"/>
          </w:tcPr>
          <w:p>
            <w:pPr/>
            <w:r>
              <w:rPr/>
              <w:t xml:space="preserve">Identifikace nedostatků v digitálních kompetencích  </w:t>
            </w:r>
          </w:p>
        </w:tc>
        <w:tc>
          <w:tcPr>
            <w:tcW w:w="2000" w:type="dxa"/>
          </w:tcPr>
          <w:p>
            <w:pPr>
              <w:jc w:val="center"/>
            </w:pPr>
            <w:r>
              <w:rPr/>
              <w:t xml:space="preserve">1</w:t>
            </w:r>
          </w:p>
        </w:tc>
      </w:tr>
    </w:tbl>
    <w:p>
      <w:pPr/>
      <w:r>
        <w:rPr>
          <w:sz w:val="16"/>
          <w:szCs w:val="16"/>
          <w:i w:val="1"/>
          <w:iCs w:val="1"/>
        </w:rPr>
        <w:t xml:space="preserve">Popisy úrovní naleznete zde: https://nsp.cz/downloads/Priloha_c15_manualu.pdf</w:t>
      </w:r>
    </w:p>
    <w:p/>
    <w:p>
      <w:pPr>
        <w:pStyle w:val="Heading3"/>
      </w:pPr>
      <w:bookmarkStart w:id="18" w:name="_Toc18"/>
      <w:r>
        <w:t>Měkké kompetence</w:t>
      </w:r>
      <w:bookmarkEnd w:id="18"/>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5000" w:type="dxa"/>
          </w:tcPr>
          <w:p>
            <w:pPr>
              <w:jc w:val="center"/>
            </w:pPr>
            <w:r>
              <w:rPr>
                <w:b w:val="1"/>
                <w:bCs w:val="1"/>
              </w:rPr>
              <w:t xml:space="preserve">Název</w:t>
            </w:r>
          </w:p>
        </w:tc>
        <w:tc>
          <w:tcPr>
            <w:tcW w:w="2000" w:type="dxa"/>
          </w:tcPr>
          <w:p>
            <w:pPr>
              <w:jc w:val="center"/>
            </w:pPr>
            <w:r>
              <w:rPr>
                <w:b w:val="1"/>
                <w:bCs w:val="1"/>
              </w:rPr>
              <w:t xml:space="preserve">Úroveň 0-5</w:t>
            </w:r>
          </w:p>
        </w:tc>
      </w:tr>
      <w:tr>
        <w:trPr/>
        <w:tc>
          <w:tcPr>
            <w:tcW w:w="2000" w:type="dxa"/>
          </w:tcPr>
          <w:p>
            <w:pPr>
              <w:jc w:val="center"/>
            </w:pPr>
            <w:r>
              <w:rPr/>
              <w:t xml:space="preserve">2.2</w:t>
            </w:r>
          </w:p>
        </w:tc>
        <w:tc>
          <w:tcPr>
            <w:tcW w:w="5000" w:type="dxa"/>
          </w:tcPr>
          <w:p>
            <w:pPr/>
            <w:r>
              <w:rPr/>
              <w:t xml:space="preserve">Kompetence ke kooperaci</w:t>
            </w:r>
          </w:p>
        </w:tc>
        <w:tc>
          <w:tcPr>
            <w:tcW w:w="2000" w:type="dxa"/>
          </w:tcPr>
          <w:p>
            <w:pPr>
              <w:jc w:val="center"/>
            </w:pPr>
            <w:r>
              <w:rPr/>
              <w:t xml:space="preserve">2</w:t>
            </w:r>
          </w:p>
        </w:tc>
      </w:tr>
      <w:tr>
        <w:trPr/>
        <w:tc>
          <w:tcPr>
            <w:tcW w:w="2000" w:type="dxa"/>
          </w:tcPr>
          <w:p>
            <w:pPr>
              <w:jc w:val="center"/>
            </w:pPr>
            <w:r>
              <w:rPr/>
              <w:t xml:space="preserve">4.6</w:t>
            </w:r>
          </w:p>
        </w:tc>
        <w:tc>
          <w:tcPr>
            <w:tcW w:w="5000" w:type="dxa"/>
          </w:tcPr>
          <w:p>
            <w:pPr/>
            <w:r>
              <w:rPr/>
              <w:t xml:space="preserve">Kompetence k výkonnosti</w:t>
            </w:r>
          </w:p>
        </w:tc>
        <w:tc>
          <w:tcPr>
            <w:tcW w:w="2000" w:type="dxa"/>
          </w:tcPr>
          <w:p>
            <w:pPr>
              <w:jc w:val="center"/>
            </w:pPr>
            <w:r>
              <w:rPr/>
              <w:t xml:space="preserve">2</w:t>
            </w:r>
          </w:p>
        </w:tc>
      </w:tr>
      <w:tr>
        <w:trPr/>
        <w:tc>
          <w:tcPr>
            <w:tcW w:w="2000" w:type="dxa"/>
          </w:tcPr>
          <w:p>
            <w:pPr>
              <w:jc w:val="center"/>
            </w:pPr>
            <w:r>
              <w:rPr/>
              <w:t xml:space="preserve">4.5</w:t>
            </w:r>
          </w:p>
        </w:tc>
        <w:tc>
          <w:tcPr>
            <w:tcW w:w="5000" w:type="dxa"/>
          </w:tcPr>
          <w:p>
            <w:pPr/>
            <w:r>
              <w:rPr/>
              <w:t xml:space="preserve">Kompetence k samostatnosti</w:t>
            </w:r>
          </w:p>
        </w:tc>
        <w:tc>
          <w:tcPr>
            <w:tcW w:w="2000" w:type="dxa"/>
          </w:tcPr>
          <w:p>
            <w:pPr>
              <w:jc w:val="center"/>
            </w:pPr>
            <w:r>
              <w:rPr/>
              <w:t xml:space="preserve">3</w:t>
            </w:r>
          </w:p>
        </w:tc>
      </w:tr>
      <w:tr>
        <w:trPr/>
        <w:tc>
          <w:tcPr>
            <w:tcW w:w="2000" w:type="dxa"/>
          </w:tcPr>
          <w:p>
            <w:pPr>
              <w:jc w:val="center"/>
            </w:pPr>
            <w:r>
              <w:rPr/>
              <w:t xml:space="preserve">4.4</w:t>
            </w:r>
          </w:p>
        </w:tc>
        <w:tc>
          <w:tcPr>
            <w:tcW w:w="5000" w:type="dxa"/>
          </w:tcPr>
          <w:p>
            <w:pPr/>
            <w:r>
              <w:rPr/>
              <w:t xml:space="preserve">Kompetence k řešení problémů</w:t>
            </w:r>
          </w:p>
        </w:tc>
        <w:tc>
          <w:tcPr>
            <w:tcW w:w="2000" w:type="dxa"/>
          </w:tcPr>
          <w:p>
            <w:pPr>
              <w:jc w:val="center"/>
            </w:pPr>
            <w:r>
              <w:rPr/>
              <w:t xml:space="preserve">1</w:t>
            </w:r>
          </w:p>
        </w:tc>
      </w:tr>
      <w:tr>
        <w:trPr/>
        <w:tc>
          <w:tcPr>
            <w:tcW w:w="2000" w:type="dxa"/>
          </w:tcPr>
          <w:p>
            <w:pPr>
              <w:jc w:val="center"/>
            </w:pPr>
            <w:r>
              <w:rPr/>
              <w:t xml:space="preserve">4.2</w:t>
            </w:r>
          </w:p>
        </w:tc>
        <w:tc>
          <w:tcPr>
            <w:tcW w:w="5000" w:type="dxa"/>
          </w:tcPr>
          <w:p>
            <w:pPr/>
            <w:r>
              <w:rPr/>
              <w:t xml:space="preserve">Kompetence k plánování a organizování práce</w:t>
            </w:r>
          </w:p>
        </w:tc>
        <w:tc>
          <w:tcPr>
            <w:tcW w:w="2000" w:type="dxa"/>
          </w:tcPr>
          <w:p>
            <w:pPr>
              <w:jc w:val="center"/>
            </w:pPr>
            <w:r>
              <w:rPr/>
              <w:t xml:space="preserve">1</w:t>
            </w:r>
          </w:p>
        </w:tc>
      </w:tr>
    </w:tbl>
    <w:p>
      <w:pPr/>
      <w:r>
        <w:rPr>
          <w:sz w:val="16"/>
          <w:szCs w:val="16"/>
          <w:i w:val="1"/>
          <w:iCs w:val="1"/>
        </w:rPr>
        <w:t xml:space="preserve">Popisy úrovní naleznete zde: https://nsp.cz/downloads/Priloha_c9_manualu.pdf</w:t>
      </w:r>
    </w:p>
    <w:p/>
    <w:p>
      <w:pPr>
        <w:pStyle w:val="Heading2"/>
      </w:pPr>
      <w:bookmarkStart w:id="19" w:name="_Toc19"/>
      <w:r>
        <w:t>Zdravotní podmínky</w:t>
      </w:r>
      <w:bookmarkEnd w:id="19"/>
    </w:p>
    <w:p>
      <w:pPr>
        <w:pStyle w:val="Heading3"/>
      </w:pPr>
      <w:bookmarkStart w:id="20" w:name="_Toc20"/>
      <w:r>
        <w:t>Onemocnění omezující výkon povolání / specializace povolání.</w:t>
      </w:r>
      <w:bookmarkEnd w:id="20"/>
    </w:p>
    <w:p>
      <w:pPr>
        <w:numPr>
          <w:ilvl w:val="0"/>
          <w:numId w:val="5"/>
        </w:numPr>
      </w:pPr>
      <w:r>
        <w:rPr/>
        <w:t xml:space="preserve">Onemocnění oběhové soustavy</w:t>
      </w:r>
    </w:p>
    <w:p>
      <w:pPr>
        <w:numPr>
          <w:ilvl w:val="0"/>
          <w:numId w:val="5"/>
        </w:numPr>
      </w:pPr>
      <w:r>
        <w:rPr/>
        <w:t xml:space="preserve">Poruchy termoregulace</w:t>
      </w:r>
    </w:p>
    <w:p>
      <w:pPr>
        <w:numPr>
          <w:ilvl w:val="0"/>
          <w:numId w:val="5"/>
        </w:numPr>
      </w:pPr>
      <w:r>
        <w:rPr/>
        <w:t xml:space="preserve">Závažná onemocnění dýchacích cest a plic</w:t>
      </w:r>
    </w:p>
    <w:p>
      <w:pPr>
        <w:numPr>
          <w:ilvl w:val="0"/>
          <w:numId w:val="5"/>
        </w:numPr>
      </w:pPr>
      <w:r>
        <w:rPr/>
        <w:t xml:space="preserve">Závažná onemocnění ledvin, močových cest</w:t>
      </w:r>
    </w:p>
    <w:p>
      <w:pPr>
        <w:numPr>
          <w:ilvl w:val="0"/>
          <w:numId w:val="5"/>
        </w:numPr>
      </w:pPr>
      <w:r>
        <w:rPr/>
        <w:t xml:space="preserve">Závažná degenerativní a zánětlivá onemocnění pohybového systému</w:t>
      </w:r>
    </w:p>
    <w:p>
      <w:pPr>
        <w:numPr>
          <w:ilvl w:val="0"/>
          <w:numId w:val="5"/>
        </w:numPr>
      </w:pPr>
      <w:r>
        <w:rPr/>
        <w:t xml:space="preserve">Prognosticky závažná endokrinní onemocnění včetně diabetes mellitus</w:t>
      </w:r>
    </w:p>
    <w:p>
      <w:pPr>
        <w:numPr>
          <w:ilvl w:val="0"/>
          <w:numId w:val="5"/>
        </w:numPr>
      </w:pPr>
      <w:r>
        <w:rPr/>
        <w:t xml:space="preserve">Závažná chronická onemocnění kůže a spojivek</w:t>
      </w:r>
    </w:p>
    <w:p>
      <w:pPr>
        <w:numPr>
          <w:ilvl w:val="0"/>
          <w:numId w:val="5"/>
        </w:numPr>
      </w:pPr>
      <w:r>
        <w:rPr/>
        <w:t xml:space="preserve">Závrať jakékoliv etiologie</w:t>
      </w:r>
    </w:p>
    <w:p>
      <w:pPr>
        <w:numPr>
          <w:ilvl w:val="0"/>
          <w:numId w:val="5"/>
        </w:numPr>
      </w:pPr>
      <w:r>
        <w:rPr/>
        <w:t xml:space="preserve">Duševní poruchy a poruchy chování</w:t>
      </w:r>
    </w:p>
    <w:p>
      <w:pPr>
        <w:numPr>
          <w:ilvl w:val="0"/>
          <w:numId w:val="5"/>
        </w:numPr>
      </w:pPr>
      <w:r>
        <w:rPr/>
        <w:t xml:space="preserve">Drogová závislost v anamnéze</w:t>
      </w:r>
    </w:p>
    <w:p>
      <w:pPr>
        <w:numPr>
          <w:ilvl w:val="0"/>
          <w:numId w:val="5"/>
        </w:numPr>
      </w:pPr>
      <w:r>
        <w:rPr/>
        <w:t xml:space="preserve">Závažné stavy po úrazech či operacích pohybového systému</w:t>
      </w:r>
    </w:p>
    <w:p>
      <w:pPr>
        <w:pStyle w:val="Heading3"/>
      </w:pPr>
      <w:bookmarkStart w:id="21" w:name="_Toc21"/>
      <w:r>
        <w:t>Onemocnění vylučující výkon povolání / specializace povolání.e</w:t>
      </w:r>
      <w:bookmarkEnd w:id="21"/>
    </w:p>
    <w:p>
      <w:pPr>
        <w:numPr>
          <w:ilvl w:val="0"/>
          <w:numId w:val="5"/>
        </w:numPr>
      </w:pPr>
      <w:r>
        <w:rPr/>
        <w:t xml:space="preserve">Záchvatovité a kolapsové stavy</w:t>
      </w:r>
    </w:p>
    <w:p>
      <w:pPr/>
      <w:r>
        <w:rPr>
          <w:sz w:val="16"/>
          <w:szCs w:val="16"/>
          <w:i w:val="1"/>
          <w:iCs w:val="1"/>
        </w:rPr>
        <w:t xml:space="preserve">Přesné posouzení zdravotního stavu s následným doporučením nebo nedoporučením výkonu této pozice je možné pouze po konzultaci s lékařem.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9AA103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20"/>
    </w:pPr>
    <w:rPr>
      <w:sz w:val="40"/>
      <w:szCs w:val="40"/>
      <w:b w:val="1"/>
      <w:bCs w:val="1"/>
    </w:rPr>
  </w:style>
  <w:style w:type="paragraph" w:styleId="Heading2">
    <w:link w:val="Heading2Char"/>
    <w:name w:val="heading 2"/>
    <w:basedOn w:val="Normal"/>
    <w:pPr>
      <w:spacing w:after="80"/>
    </w:pPr>
    <w:rPr>
      <w:sz w:val="28"/>
      <w:szCs w:val="28"/>
      <w:b w:val="1"/>
      <w:bCs w:val="1"/>
    </w:rPr>
  </w:style>
  <w:style w:type="paragraph" w:styleId="Heading3">
    <w:link w:val="Heading3Char"/>
    <w:name w:val="heading 3"/>
    <w:basedOn w:val="Normal"/>
    <w:pPr>
      <w:spacing w:after="60"/>
    </w:pPr>
    <w:rPr>
      <w:sz w:val="24"/>
      <w:szCs w:val="24"/>
      <w:b w:val="1"/>
      <w:bCs w:val="1"/>
    </w:rPr>
  </w:style>
  <w:style w:type="paragraph" w:styleId="Heading4">
    <w:link w:val="Heading4Char"/>
    <w:name w:val="heading 4"/>
    <w:basedOn w:val="Normal"/>
    <w:pPr>
      <w:spacing w:after="6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FDV</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NSP.CZ</dc:creator>
  <dc:title>Obsluha stavebních strojů nakládacích a vykládacích kolových a pásových</dc:title>
  <dc:description>Obsluha stavebních strojů nakládacích a vykládacích kolových a pásových obsluhuje všechny typy nakladačů kolových a pásových při nakládání štěrků, stavební suti, ornice a různých druhů zemin.</dc:description>
  <dc:subject/>
  <cp:keywords/>
  <cp:category>Specializace</cp:category>
  <cp:lastModifiedBy/>
  <dcterms:created xsi:type="dcterms:W3CDTF">2017-11-22T09:27:00+01:00</dcterms:created>
  <dcterms:modified xsi:type="dcterms:W3CDTF">2017-11-22T09:55:30+01:00</dcterms:modified>
</cp:coreProperties>
</file>

<file path=docProps/custom.xml><?xml version="1.0" encoding="utf-8"?>
<Properties xmlns="http://schemas.openxmlformats.org/officeDocument/2006/custom-properties" xmlns:vt="http://schemas.openxmlformats.org/officeDocument/2006/docPropsVTypes"/>
</file>