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</w:t>
      </w:r>
      <w:bookmarkEnd w:id="1"/>
    </w:p>
    <w:p>
      <w:pPr/>
      <w:r>
        <w:rPr/>
        <w:t xml:space="preserve">Asistent soudce vykonává pro soudce právní expertizy a další odborné právnické činnosti spojené s přípravou projednávání a rozhodování v konkrétních věcech a některé procesní úkony spojené s projednáváním a rozhodováním věcí.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zákonem o vyšších soudních úřednících.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767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</dc:title>
  <dc:description>Asistent soudce vykonává pro soudce právní expertizy a další odborné právnické činnosti spojené s přípravou projednávání a rozhodování v konkrétních věcech a některé procesní úkony spojené s projednáváním a rozhodováním věcí. </dc:description>
  <dc:subject/>
  <cp:keywords/>
  <cp:category>Povolání</cp:category>
  <cp:lastModifiedBy/>
  <dcterms:created xsi:type="dcterms:W3CDTF">2017-11-22T09:26:00+01:00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