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Strojník obsluhy stavebních strojů</w:t>
      </w:r>
      <w:bookmarkEnd w:id="1"/>
    </w:p>
    <w:p>
      <w:pPr/>
      <w:r>
        <w:rPr/>
        <w:t xml:space="preserve">Strojník obsluhy stavebních strojů řídí, obsluhuje a udržuje stavební pracovní stroje a zařízení.</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nezařazeno do odborného podsměru</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Obsluha rypadel, Obsluha zemních strojů, Řidič autojeřábu, Řidič buldozeru, Řidič bagru, Řidič shrnovače, Řidič finišeru, Řidič skrejpru, Řidič frézy, Řidič dozeru, Řidič rypadla, Řidič nakladače, Řidič stroje na hloubení jam (na pilotáž), Obsluha jeřábu, Řidič víceúčelového stroje pro zemní práce, Strojník betonář, Strojník stavebních strojů, Jeřábník, Building machine operator, Grader,  Bulldozer and Scraper operator</w:t>
            </w:r>
          </w:p>
        </w:tc>
      </w:tr>
      <w:tr>
        <w:trPr/>
        <w:tc>
          <w:tcPr/>
          <w:p>
            <w:pPr/>
            <w:r>
              <w:rPr>
                <w:b w:val="1"/>
                <w:bCs w:val="1"/>
              </w:rPr>
              <w:t xml:space="preserve">Podřízené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Příprava pracoviště a pracovních strojů.</w:t>
      </w:r>
    </w:p>
    <w:p>
      <w:pPr>
        <w:numPr>
          <w:ilvl w:val="0"/>
          <w:numId w:val="5"/>
        </w:numPr>
      </w:pPr>
      <w:r>
        <w:rPr/>
        <w:t xml:space="preserve">Řízení, obsluha a údržba pracovních strojů a zařízení.</w:t>
      </w:r>
    </w:p>
    <w:p>
      <w:pPr>
        <w:numPr>
          <w:ilvl w:val="0"/>
          <w:numId w:val="5"/>
        </w:numPr>
      </w:pPr>
      <w:r>
        <w:rPr/>
        <w:t xml:space="preserve">Odstraňování závad a kontrola chodu a výkonu stavebních strojů.</w:t>
      </w:r>
    </w:p>
    <w:p>
      <w:pPr>
        <w:numPr>
          <w:ilvl w:val="0"/>
          <w:numId w:val="5"/>
        </w:numPr>
      </w:pPr>
      <w:r>
        <w:rPr/>
        <w:t xml:space="preserve">Řízení a opravy dobývacích a zakládacích velkostrojů všech typů.</w:t>
      </w:r>
    </w:p>
    <w:p>
      <w:pPr>
        <w:numPr>
          <w:ilvl w:val="0"/>
          <w:numId w:val="5"/>
        </w:numPr>
      </w:pPr>
      <w:r>
        <w:rPr/>
        <w:t xml:space="preserve">Organizování práce při běžných a středních opravách velkostrojů, řízení prací při ražbě tunelů pomocí mechanizovaného razicího štítu.</w:t>
      </w:r>
    </w:p>
    <w:p>
      <w:pPr>
        <w:numPr>
          <w:ilvl w:val="0"/>
          <w:numId w:val="5"/>
        </w:numPr>
      </w:pPr>
      <w:r>
        <w:rPr/>
        <w:t xml:space="preserve">Obsluha rozpěrného prstence a řízení činnosti záštitového komplexu mechanizovaného razicího štítu.</w:t>
      </w:r>
    </w:p>
    <w:p>
      <w:pPr>
        <w:numPr>
          <w:ilvl w:val="0"/>
          <w:numId w:val="5"/>
        </w:numPr>
      </w:pPr>
      <w:r>
        <w:rPr/>
        <w:t xml:space="preserve">Evidování technických dat o průběhu a výsledcích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2024</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22 706 Kč</w:t>
            </w:r>
          </w:p>
        </w:tc>
        <w:tc>
          <w:tcPr>
            <w:tcW w:w="1000" w:type="dxa"/>
          </w:tcPr>
          <w:p>
            <w:pPr>
              <w:jc w:val="center"/>
            </w:pPr>
            <w:r>
              <w:rPr/>
              <w:t xml:space="preserve">46 304 Kč</w:t>
            </w:r>
          </w:p>
        </w:tc>
        <w:tc>
          <w:tcPr>
            <w:tcW w:w="1000" w:type="dxa"/>
          </w:tcPr>
          <w:p>
            <w:pPr>
              <w:jc w:val="center"/>
            </w:pPr>
            <w:r>
              <w:rPr/>
              <w:t xml:space="preserve">69 341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21 387 Kč</w:t>
            </w:r>
          </w:p>
        </w:tc>
        <w:tc>
          <w:tcPr>
            <w:tcW w:w="1000" w:type="dxa"/>
          </w:tcPr>
          <w:p>
            <w:pPr>
              <w:jc w:val="center"/>
            </w:pPr>
            <w:r>
              <w:rPr/>
              <w:t xml:space="preserve">43 698 Kč</w:t>
            </w:r>
          </w:p>
        </w:tc>
        <w:tc>
          <w:tcPr>
            <w:tcW w:w="1000" w:type="dxa"/>
          </w:tcPr>
          <w:p>
            <w:pPr>
              <w:jc w:val="center"/>
            </w:pPr>
            <w:r>
              <w:rPr/>
              <w:t xml:space="preserve">67 933 Kč</w:t>
            </w:r>
          </w:p>
        </w:tc>
        <w:tc>
          <w:tcPr>
            <w:tcW w:w="1000" w:type="dxa"/>
          </w:tcPr>
          <w:p/>
        </w:tc>
        <w:tc>
          <w:tcPr>
            <w:tcW w:w="1000" w:type="dxa"/>
          </w:tcPr>
          <w:p/>
        </w:tc>
        <w:tc>
          <w:tcPr>
            <w:tcW w:w="1000" w:type="dxa"/>
          </w:tcPr>
          <w:p/>
        </w:tc>
      </w:tr>
      <w:tr>
        <w:trPr/>
        <w:tc>
          <w:tcPr>
            <w:tcW w:w="2000" w:type="dxa"/>
          </w:tcPr>
          <w:p>
            <w:pPr/>
            <w:r>
              <w:rPr/>
              <w:t xml:space="preserve">Jihočeský kraj</w:t>
            </w:r>
          </w:p>
        </w:tc>
        <w:tc>
          <w:tcPr>
            <w:tcW w:w="1000" w:type="dxa"/>
          </w:tcPr>
          <w:p>
            <w:pPr>
              <w:jc w:val="center"/>
            </w:pPr>
            <w:r>
              <w:rPr/>
              <w:t xml:space="preserve">27 840 Kč</w:t>
            </w:r>
          </w:p>
        </w:tc>
        <w:tc>
          <w:tcPr>
            <w:tcW w:w="1000" w:type="dxa"/>
          </w:tcPr>
          <w:p>
            <w:pPr>
              <w:jc w:val="center"/>
            </w:pPr>
            <w:r>
              <w:rPr/>
              <w:t xml:space="preserve">45 461 Kč</w:t>
            </w:r>
          </w:p>
        </w:tc>
        <w:tc>
          <w:tcPr>
            <w:tcW w:w="1000" w:type="dxa"/>
          </w:tcPr>
          <w:p>
            <w:pPr>
              <w:jc w:val="center"/>
            </w:pPr>
            <w:r>
              <w:rPr/>
              <w:t xml:space="preserve">63 768 Kč</w:t>
            </w:r>
          </w:p>
        </w:tc>
        <w:tc>
          <w:tcPr>
            <w:tcW w:w="1000" w:type="dxa"/>
          </w:tcPr>
          <w:p/>
        </w:tc>
        <w:tc>
          <w:tcPr>
            <w:tcW w:w="1000" w:type="dxa"/>
          </w:tcPr>
          <w:p/>
        </w:tc>
        <w:tc>
          <w:tcPr>
            <w:tcW w:w="1000" w:type="dxa"/>
          </w:tcPr>
          <w:p/>
        </w:tc>
      </w:tr>
      <w:tr>
        <w:trPr/>
        <w:tc>
          <w:tcPr>
            <w:tcW w:w="2000" w:type="dxa"/>
          </w:tcPr>
          <w:p>
            <w:pPr/>
            <w:r>
              <w:rPr/>
              <w:t xml:space="preserve">Plzeňský kraj</w:t>
            </w:r>
          </w:p>
        </w:tc>
        <w:tc>
          <w:tcPr>
            <w:tcW w:w="1000" w:type="dxa"/>
          </w:tcPr>
          <w:p>
            <w:pPr>
              <w:jc w:val="center"/>
            </w:pPr>
            <w:r>
              <w:rPr/>
              <w:t xml:space="preserve">37 818 Kč</w:t>
            </w:r>
          </w:p>
        </w:tc>
        <w:tc>
          <w:tcPr>
            <w:tcW w:w="1000" w:type="dxa"/>
          </w:tcPr>
          <w:p>
            <w:pPr>
              <w:jc w:val="center"/>
            </w:pPr>
            <w:r>
              <w:rPr/>
              <w:t xml:space="preserve">52 485 Kč</w:t>
            </w:r>
          </w:p>
        </w:tc>
        <w:tc>
          <w:tcPr>
            <w:tcW w:w="1000" w:type="dxa"/>
          </w:tcPr>
          <w:p>
            <w:pPr>
              <w:jc w:val="center"/>
            </w:pPr>
            <w:r>
              <w:rPr/>
              <w:t xml:space="preserve">70 772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34 006 Kč</w:t>
            </w:r>
          </w:p>
        </w:tc>
        <w:tc>
          <w:tcPr>
            <w:tcW w:w="1000" w:type="dxa"/>
          </w:tcPr>
          <w:p>
            <w:pPr>
              <w:jc w:val="center"/>
            </w:pPr>
            <w:r>
              <w:rPr/>
              <w:t xml:space="preserve">45 527 Kč</w:t>
            </w:r>
          </w:p>
        </w:tc>
        <w:tc>
          <w:tcPr>
            <w:tcW w:w="1000" w:type="dxa"/>
          </w:tcPr>
          <w:p>
            <w:pPr>
              <w:jc w:val="center"/>
            </w:pPr>
            <w:r>
              <w:rPr/>
              <w:t xml:space="preserve">60 209 Kč</w:t>
            </w:r>
          </w:p>
        </w:tc>
        <w:tc>
          <w:tcPr>
            <w:tcW w:w="1000" w:type="dxa"/>
          </w:tcPr>
          <w:p/>
        </w:tc>
        <w:tc>
          <w:tcPr>
            <w:tcW w:w="1000" w:type="dxa"/>
          </w:tcPr>
          <w:p/>
        </w:tc>
        <w:tc>
          <w:tcPr>
            <w:tcW w:w="1000" w:type="dxa"/>
          </w:tcPr>
          <w:p/>
        </w:tc>
      </w:tr>
      <w:tr>
        <w:trPr/>
        <w:tc>
          <w:tcPr>
            <w:tcW w:w="2000" w:type="dxa"/>
          </w:tcPr>
          <w:p>
            <w:pPr/>
            <w:r>
              <w:rPr/>
              <w:t xml:space="preserve">Liberecký kraj</w:t>
            </w:r>
          </w:p>
        </w:tc>
        <w:tc>
          <w:tcPr>
            <w:tcW w:w="1000" w:type="dxa"/>
          </w:tcPr>
          <w:p>
            <w:pPr>
              <w:jc w:val="center"/>
            </w:pPr>
            <w:r>
              <w:rPr/>
              <w:t xml:space="preserve">28 806 Kč</w:t>
            </w:r>
          </w:p>
        </w:tc>
        <w:tc>
          <w:tcPr>
            <w:tcW w:w="1000" w:type="dxa"/>
          </w:tcPr>
          <w:p>
            <w:pPr>
              <w:jc w:val="center"/>
            </w:pPr>
            <w:r>
              <w:rPr/>
              <w:t xml:space="preserve">44 452 Kč</w:t>
            </w:r>
          </w:p>
        </w:tc>
        <w:tc>
          <w:tcPr>
            <w:tcW w:w="1000" w:type="dxa"/>
          </w:tcPr>
          <w:p>
            <w:pPr>
              <w:jc w:val="center"/>
            </w:pPr>
            <w:r>
              <w:rPr/>
              <w:t xml:space="preserve">58 121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21 712 Kč</w:t>
            </w:r>
          </w:p>
        </w:tc>
        <w:tc>
          <w:tcPr>
            <w:tcW w:w="1000" w:type="dxa"/>
          </w:tcPr>
          <w:p>
            <w:pPr>
              <w:jc w:val="center"/>
            </w:pPr>
            <w:r>
              <w:rPr/>
              <w:t xml:space="preserve">38 582 Kč</w:t>
            </w:r>
          </w:p>
        </w:tc>
        <w:tc>
          <w:tcPr>
            <w:tcW w:w="1000" w:type="dxa"/>
          </w:tcPr>
          <w:p>
            <w:pPr>
              <w:jc w:val="center"/>
            </w:pPr>
            <w:r>
              <w:rPr/>
              <w:t xml:space="preserve">58 892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29 960 Kč</w:t>
            </w:r>
          </w:p>
        </w:tc>
        <w:tc>
          <w:tcPr>
            <w:tcW w:w="1000" w:type="dxa"/>
          </w:tcPr>
          <w:p>
            <w:pPr>
              <w:jc w:val="center"/>
            </w:pPr>
            <w:r>
              <w:rPr/>
              <w:t xml:space="preserve">43 228 Kč</w:t>
            </w:r>
          </w:p>
        </w:tc>
        <w:tc>
          <w:tcPr>
            <w:tcW w:w="1000" w:type="dxa"/>
          </w:tcPr>
          <w:p>
            <w:pPr>
              <w:jc w:val="center"/>
            </w:pPr>
            <w:r>
              <w:rPr/>
              <w:t xml:space="preserve">69 348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19 813 Kč</w:t>
            </w:r>
          </w:p>
        </w:tc>
        <w:tc>
          <w:tcPr>
            <w:tcW w:w="1000" w:type="dxa"/>
          </w:tcPr>
          <w:p>
            <w:pPr>
              <w:jc w:val="center"/>
            </w:pPr>
            <w:r>
              <w:rPr/>
              <w:t xml:space="preserve">41 639 Kč</w:t>
            </w:r>
          </w:p>
        </w:tc>
        <w:tc>
          <w:tcPr>
            <w:tcW w:w="1000" w:type="dxa"/>
          </w:tcPr>
          <w:p>
            <w:pPr>
              <w:jc w:val="center"/>
            </w:pPr>
            <w:r>
              <w:rPr/>
              <w:t xml:space="preserve">57 655 Kč</w:t>
            </w:r>
          </w:p>
        </w:tc>
        <w:tc>
          <w:tcPr>
            <w:tcW w:w="1000" w:type="dxa"/>
          </w:tcPr>
          <w:p/>
        </w:tc>
        <w:tc>
          <w:tcPr>
            <w:tcW w:w="1000" w:type="dxa"/>
          </w:tcPr>
          <w:p/>
        </w:tc>
        <w:tc>
          <w:tcPr>
            <w:tcW w:w="1000" w:type="dxa"/>
          </w:tcPr>
          <w:p/>
        </w:tc>
      </w:tr>
    </w:tbl>
    <w:p/>
    <w:p>
      <w:pPr>
        <w:pStyle w:val="Heading3"/>
      </w:pPr>
      <w:bookmarkStart w:id="6" w:name="_Toc6"/>
      <w:r>
        <w:t>Hrubé měsíční mzdy v roce 2024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36 570 Kč</w:t>
            </w:r>
          </w:p>
        </w:tc>
        <w:tc>
          <w:tcPr>
            <w:tcW w:w="1000" w:type="dxa"/>
          </w:tcPr>
          <w:p>
            <w:pPr>
              <w:jc w:val="center"/>
            </w:pPr>
            <w:r>
              <w:rPr/>
              <w:t xml:space="preserve">41 732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36 008 Kč</w:t>
            </w:r>
          </w:p>
        </w:tc>
        <w:tc>
          <w:tcPr>
            <w:tcW w:w="1000" w:type="dxa"/>
          </w:tcPr>
          <w:p>
            <w:pPr>
              <w:jc w:val="center"/>
            </w:pPr>
            <w:r>
              <w:rPr/>
              <w:t xml:space="preserve">41 365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tbl>
      <w:tblGrid>
        <w:gridCol w:w="5000" w:type="dxa"/>
        <w:gridCol w:w="1000" w:type="dxa"/>
        <w:gridCol w:w="1000" w:type="dxa"/>
        <w:gridCol w:w="1000" w:type="dxa"/>
        <w:gridCol w:w="1000" w:type="dxa"/>
      </w:tblGrid>
      <w:tblPr>
        <w:jc w:val="start"/>
        <w:tblW w:w="0" w:type="auto"/>
        <w:tblCellSpacing w:w="50" w:type="dxa"/>
        <w:tblLayout w:type="autofit"/>
        <w:bidiVisual w:val="0"/>
        <w:tblCellMar>
          <w:top w:w="80" w:type="dxa"/>
          <w:left w:w="80" w:type="dxa"/>
          <w:right w:w="80" w:type="dxa"/>
          <w:bottom w:w="80" w:type="dxa"/>
        </w:tblCellMar>
      </w:tblPr>
      <w:tr>
        <w:trPr/>
        <w:tc>
          <w:tcPr>
            <w:tcW w:w="5000" w:type="dxa"/>
          </w:tcPr>
          <w:p>
            <w:pPr>
              <w:jc w:val="center"/>
            </w:pPr>
            <w:r>
              <w:rPr>
                <w:b w:val="1"/>
                <w:bCs w:val="1"/>
              </w:rPr>
              <w:t xml:space="preserve">Název</w:t>
            </w:r>
          </w:p>
        </w:tc>
        <w:tc>
          <w:tcPr>
            <w:tcW w:w="1000" w:type="dxa"/>
          </w:tcPr>
          <w:p>
            <w:pPr>
              <w:jc w:val="center"/>
            </w:pPr>
            <w:r>
              <w:rPr>
                <w:b w:val="1"/>
                <w:bCs w:val="1"/>
              </w:rPr>
              <w:t xml:space="preserve">1</w:t>
            </w:r>
          </w:p>
        </w:tc>
        <w:tc>
          <w:tcPr>
            <w:tcW w:w="1000" w:type="dxa"/>
          </w:tcPr>
          <w:p>
            <w:pPr>
              <w:jc w:val="center"/>
            </w:pPr>
            <w:r>
              <w:rPr>
                <w:b w:val="1"/>
                <w:bCs w:val="1"/>
              </w:rPr>
              <w:t xml:space="preserve">2</w:t>
            </w:r>
          </w:p>
        </w:tc>
        <w:tc>
          <w:tcPr>
            <w:tcW w:w="1000" w:type="dxa"/>
          </w:tcPr>
          <w:p>
            <w:pPr>
              <w:jc w:val="center"/>
            </w:pPr>
            <w:r>
              <w:rPr>
                <w:b w:val="1"/>
                <w:bCs w:val="1"/>
              </w:rPr>
              <w:t xml:space="preserve">3</w:t>
            </w:r>
          </w:p>
        </w:tc>
        <w:tc>
          <w:tcPr>
            <w:tcW w:w="1000" w:type="dxa"/>
          </w:tcPr>
          <w:p>
            <w:pPr>
              <w:jc w:val="center"/>
            </w:pPr>
            <w:r>
              <w:rPr>
                <w:b w:val="1"/>
                <w:bCs w:val="1"/>
              </w:rPr>
              <w:t xml:space="preserve">4</w:t>
            </w:r>
          </w:p>
        </w:tc>
      </w:tr>
      <w:tr>
        <w:trPr/>
        <w:tc>
          <w:tcPr>
            <w:tcW w:w="5000" w:type="dxa"/>
          </w:tcPr>
          <w:p>
            <w:pPr/>
            <w:r>
              <w:rPr/>
              <w:t xml:space="preserve">Zátěž teplem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hlukem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vibracemi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prachem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chemickými látkami</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Zraková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 zátěž malých svalových skupin</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Lokální zátěž jemné motoriky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omezeném nebo uzavřeném prostoru</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Duševní zátěž</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obecného ohrožení</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Pracovní doba, směnnost</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trupu a páteře s převahou statické práce (manipulace s břemeny)</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chladem</w:t>
            </w:r>
          </w:p>
        </w:tc>
        <w:tc>
          <w:tcPr>
            <w:tcW w:w="1000" w:type="dxa"/>
          </w:tcPr>
          <w:p>
            <w:pPr>
              <w:jc w:val="center"/>
            </w:pPr>
            <w:r>
              <w:rPr/>
              <w:t xml:space="preserve">x</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r>
      <w:tr>
        <w:trPr/>
        <w:tc>
          <w:tcPr>
            <w:tcW w:w="5000" w:type="dxa"/>
          </w:tcPr>
          <w:p>
            <w:pPr/>
            <w:r>
              <w:rPr/>
              <w:t xml:space="preserve">Zátěž invazivními alergeny</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ionizujícím zářením</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neionizujícím zářením a elektromagnetickým polem včetně laserů</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prací v nevhodných pracovních polohách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Práce ve výškách</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Zvýšené riziko úrazu pracovníka</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Zátěž biologickými činiteli způsobujícími onemocnění</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r>
        <w:trPr/>
        <w:tc>
          <w:tcPr>
            <w:tcW w:w="5000" w:type="dxa"/>
          </w:tcPr>
          <w:p>
            <w:pPr/>
            <w:r>
              <w:rPr/>
              <w:t xml:space="preserve">Celková fyzická zátěž</w:t>
            </w:r>
          </w:p>
        </w:tc>
        <w:tc>
          <w:tcPr>
            <w:tcW w:w="1000" w:type="dxa"/>
          </w:tcPr>
          <w:p>
            <w:pPr>
              <w:jc w:val="center"/>
            </w:pPr>
            <w:r>
              <w:rPr/>
              <w:t xml:space="preserve">x</w:t>
            </w:r>
          </w:p>
        </w:tc>
        <w:tc>
          <w:tcPr>
            <w:tcW w:w="1000" w:type="dxa"/>
          </w:tcPr>
          <w:p>
            <w:pPr/>
            <w:r>
              <w:rPr/>
              <w:t xml:space="preserve"/>
            </w:r>
          </w:p>
        </w:tc>
        <w:tc>
          <w:tcPr>
            <w:tcW w:w="1000" w:type="dxa"/>
          </w:tcPr>
          <w:p>
            <w:pPr/>
            <w:r>
              <w:rPr/>
              <w:t xml:space="preserve"/>
            </w:r>
          </w:p>
        </w:tc>
        <w:tc>
          <w:tcPr>
            <w:tcW w:w="1000" w:type="dxa"/>
          </w:tcPr>
          <w:p>
            <w:pPr/>
            <w:r>
              <w:rPr/>
              <w:t xml:space="preserve"/>
            </w:r>
          </w:p>
        </w:tc>
      </w:tr>
    </w:tbl>
    <w:p/>
    <w:p>
      <w:pPr/>
      <w:r>
        <w:rPr>
          <w:sz w:val="16"/>
          <w:szCs w:val="16"/>
          <w:i w:val="1"/>
          <w:iCs w:val="1"/>
        </w:rPr>
        <w:t xml:space="preserve">Legenda:</w:t>
      </w:r>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g11.D.8094</w:t>
            </w:r>
          </w:p>
        </w:tc>
        <w:tc>
          <w:tcPr>
            <w:tcW w:w="3000" w:type="dxa"/>
          </w:tcPr>
          <w:p>
            <w:pPr/>
            <w:r>
              <w:rPr/>
              <w:t xml:space="preserve">Evidování technických dat o průběhu a výsledcích práce se stavebními stroji a zařízeními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g11.B.1002</w:t>
            </w:r>
          </w:p>
        </w:tc>
        <w:tc>
          <w:tcPr>
            <w:tcW w:w="3000" w:type="dxa"/>
          </w:tcPr>
          <w:p>
            <w:pPr/>
            <w:r>
              <w:rPr/>
              <w:t xml:space="preserve">Obsluha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g11.D.2051</w:t>
            </w:r>
          </w:p>
        </w:tc>
        <w:tc>
          <w:tcPr>
            <w:tcW w:w="3000" w:type="dxa"/>
          </w:tcPr>
          <w:p>
            <w:pPr/>
            <w:r>
              <w:rPr/>
              <w:t xml:space="preserve">Volba postupu práce a technologických podmínek při úpravě terénu za použití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g11.A.4001</w:t>
            </w:r>
          </w:p>
        </w:tc>
        <w:tc>
          <w:tcPr>
            <w:tcW w:w="3000" w:type="dxa"/>
          </w:tcPr>
          <w:p>
            <w:pPr/>
            <w:r>
              <w:rPr/>
              <w:t xml:space="preserve">Seřizování, ošetřování a údržba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g11.D.1021</w:t>
            </w:r>
          </w:p>
        </w:tc>
        <w:tc>
          <w:tcPr>
            <w:tcW w:w="3000" w:type="dxa"/>
          </w:tcPr>
          <w:p>
            <w:pPr/>
            <w:r>
              <w:rPr/>
              <w:t xml:space="preserve">Orientace ve vyhláškách, normách a technických předpisech týkajících se řízení a obsluhy příslušných druhů stavebních strojů a zařízení</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g11.B.5001</w:t>
            </w:r>
          </w:p>
        </w:tc>
        <w:tc>
          <w:tcPr>
            <w:tcW w:w="3000" w:type="dxa"/>
          </w:tcPr>
          <w:p>
            <w:pPr/>
            <w:r>
              <w:rPr/>
              <w:t xml:space="preserve">Řízení pojízdných druhů stavebních strojů a zařízení</w:t>
            </w:r>
          </w:p>
        </w:tc>
        <w:tc>
          <w:tcPr>
            <w:tcW w:w="2000" w:type="dxa"/>
          </w:tcPr>
          <w:p>
            <w:pPr>
              <w:jc w:val="center"/>
            </w:pPr>
            <w:r>
              <w:rPr/>
              <w:t xml:space="preserve">3</w:t>
            </w:r>
          </w:p>
        </w:tc>
        <w:tc>
          <w:tcPr>
            <w:tcW w:w="2000" w:type="dxa"/>
          </w:tcPr>
          <w:p>
            <w:pPr>
              <w:jc w:val="center"/>
            </w:pPr>
            <w:r>
              <w:rPr/>
              <w:t xml:space="preserve">Výhodné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Obecné dovednosti</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0-3</w:t>
            </w:r>
          </w:p>
        </w:tc>
      </w:tr>
      <w:tr>
        <w:trPr/>
        <w:tc>
          <w:tcPr>
            <w:tcW w:w="2000" w:type="dxa"/>
          </w:tcPr>
          <w:p>
            <w:pPr>
              <w:jc w:val="center"/>
            </w:pPr>
            <w:r>
              <w:rPr/>
              <w:t xml:space="preserve">b01</w:t>
            </w:r>
          </w:p>
        </w:tc>
        <w:tc>
          <w:tcPr>
            <w:tcW w:w="5000" w:type="dxa"/>
          </w:tcPr>
          <w:p>
            <w:pPr/>
            <w:r>
              <w:rPr/>
              <w:t xml:space="preserve">Počítačová způsobilost</w:t>
            </w:r>
          </w:p>
        </w:tc>
        <w:tc>
          <w:tcPr>
            <w:tcW w:w="2000" w:type="dxa"/>
          </w:tcPr>
          <w:p>
            <w:pPr>
              <w:jc w:val="center"/>
            </w:pPr>
            <w:r>
              <w:rPr/>
              <w:t xml:space="preserve">1</w:t>
            </w:r>
          </w:p>
        </w:tc>
      </w:tr>
      <w:tr>
        <w:trPr/>
        <w:tc>
          <w:tcPr>
            <w:tcW w:w="2000" w:type="dxa"/>
          </w:tcPr>
          <w:p>
            <w:pPr>
              <w:jc w:val="center"/>
            </w:pPr>
            <w:r>
              <w:rPr/>
              <w:t xml:space="preserve">b02</w:t>
            </w:r>
          </w:p>
        </w:tc>
        <w:tc>
          <w:tcPr>
            <w:tcW w:w="5000" w:type="dxa"/>
          </w:tcPr>
          <w:p>
            <w:pPr/>
            <w:r>
              <w:rPr/>
              <w:t xml:space="preserve">Způsobilost k řízení osobního automobilu</w:t>
            </w:r>
          </w:p>
        </w:tc>
        <w:tc>
          <w:tcPr>
            <w:tcW w:w="2000" w:type="dxa"/>
          </w:tcPr>
          <w:p>
            <w:pPr>
              <w:jc w:val="center"/>
            </w:pPr>
            <w:r>
              <w:rPr/>
              <w:t xml:space="preserve">0</w:t>
            </w:r>
          </w:p>
        </w:tc>
      </w:tr>
      <w:tr>
        <w:trPr/>
        <w:tc>
          <w:tcPr>
            <w:tcW w:w="2000" w:type="dxa"/>
          </w:tcPr>
          <w:p>
            <w:pPr>
              <w:jc w:val="center"/>
            </w:pPr>
            <w:r>
              <w:rPr/>
              <w:t xml:space="preserve">b03</w:t>
            </w:r>
          </w:p>
        </w:tc>
        <w:tc>
          <w:tcPr>
            <w:tcW w:w="5000" w:type="dxa"/>
          </w:tcPr>
          <w:p>
            <w:pPr/>
            <w:r>
              <w:rPr/>
              <w:t xml:space="preserve">Numerická způsobilost</w:t>
            </w:r>
          </w:p>
        </w:tc>
        <w:tc>
          <w:tcPr>
            <w:tcW w:w="2000" w:type="dxa"/>
          </w:tcPr>
          <w:p>
            <w:pPr>
              <w:jc w:val="center"/>
            </w:pPr>
            <w:r>
              <w:rPr/>
              <w:t xml:space="preserve">2</w:t>
            </w:r>
          </w:p>
        </w:tc>
      </w:tr>
      <w:tr>
        <w:trPr/>
        <w:tc>
          <w:tcPr>
            <w:tcW w:w="2000" w:type="dxa"/>
          </w:tcPr>
          <w:p>
            <w:pPr>
              <w:jc w:val="center"/>
            </w:pPr>
            <w:r>
              <w:rPr/>
              <w:t xml:space="preserve">b04</w:t>
            </w:r>
          </w:p>
        </w:tc>
        <w:tc>
          <w:tcPr>
            <w:tcW w:w="5000" w:type="dxa"/>
          </w:tcPr>
          <w:p>
            <w:pPr/>
            <w:r>
              <w:rPr/>
              <w:t xml:space="preserve">Ekonomické povědomí</w:t>
            </w:r>
          </w:p>
        </w:tc>
        <w:tc>
          <w:tcPr>
            <w:tcW w:w="2000" w:type="dxa"/>
          </w:tcPr>
          <w:p>
            <w:pPr>
              <w:jc w:val="center"/>
            </w:pPr>
            <w:r>
              <w:rPr/>
              <w:t xml:space="preserve">1</w:t>
            </w:r>
          </w:p>
        </w:tc>
      </w:tr>
      <w:tr>
        <w:trPr/>
        <w:tc>
          <w:tcPr>
            <w:tcW w:w="2000" w:type="dxa"/>
          </w:tcPr>
          <w:p>
            <w:pPr>
              <w:jc w:val="center"/>
            </w:pPr>
            <w:r>
              <w:rPr/>
              <w:t xml:space="preserve">b05</w:t>
            </w:r>
          </w:p>
        </w:tc>
        <w:tc>
          <w:tcPr>
            <w:tcW w:w="5000" w:type="dxa"/>
          </w:tcPr>
          <w:p>
            <w:pPr/>
            <w:r>
              <w:rPr/>
              <w:t xml:space="preserve">Právní povědomí</w:t>
            </w:r>
          </w:p>
        </w:tc>
        <w:tc>
          <w:tcPr>
            <w:tcW w:w="2000" w:type="dxa"/>
          </w:tcPr>
          <w:p>
            <w:pPr>
              <w:jc w:val="center"/>
            </w:pPr>
            <w:r>
              <w:rPr/>
              <w:t xml:space="preserve">1</w:t>
            </w:r>
          </w:p>
        </w:tc>
      </w:tr>
      <w:tr>
        <w:trPr/>
        <w:tc>
          <w:tcPr>
            <w:tcW w:w="2000" w:type="dxa"/>
          </w:tcPr>
          <w:p>
            <w:pPr>
              <w:jc w:val="center"/>
            </w:pPr>
            <w:r>
              <w:rPr/>
              <w:t xml:space="preserve">b06</w:t>
            </w:r>
          </w:p>
        </w:tc>
        <w:tc>
          <w:tcPr>
            <w:tcW w:w="5000" w:type="dxa"/>
          </w:tcPr>
          <w:p>
            <w:pPr/>
            <w:r>
              <w:rPr/>
              <w:t xml:space="preserve">Jazyková způsobilost v češtině</w:t>
            </w:r>
          </w:p>
        </w:tc>
        <w:tc>
          <w:tcPr>
            <w:tcW w:w="2000" w:type="dxa"/>
          </w:tcPr>
          <w:p>
            <w:pPr>
              <w:jc w:val="center"/>
            </w:pPr>
            <w:r>
              <w:rPr/>
              <w:t xml:space="preserve">1</w:t>
            </w:r>
          </w:p>
        </w:tc>
      </w:tr>
      <w:tr>
        <w:trPr/>
        <w:tc>
          <w:tcPr>
            <w:tcW w:w="2000" w:type="dxa"/>
          </w:tcPr>
          <w:p>
            <w:pPr>
              <w:jc w:val="center"/>
            </w:pPr>
            <w:r>
              <w:rPr/>
              <w:t xml:space="preserve">b07</w:t>
            </w:r>
          </w:p>
        </w:tc>
        <w:tc>
          <w:tcPr>
            <w:tcW w:w="5000" w:type="dxa"/>
          </w:tcPr>
          <w:p>
            <w:pPr/>
            <w:r>
              <w:rPr/>
              <w:t xml:space="preserve">Jazyková způsobilost v angličtině</w:t>
            </w:r>
          </w:p>
        </w:tc>
        <w:tc>
          <w:tcPr>
            <w:tcW w:w="2000" w:type="dxa"/>
          </w:tcPr>
          <w:p>
            <w:pPr>
              <w:jc w:val="center"/>
            </w:pPr>
            <w:r>
              <w:rPr/>
              <w:t xml:space="preserve">0</w:t>
            </w:r>
          </w:p>
        </w:tc>
      </w:tr>
      <w:tr>
        <w:trPr/>
        <w:tc>
          <w:tcPr>
            <w:tcW w:w="2000" w:type="dxa"/>
          </w:tcPr>
          <w:p>
            <w:pPr>
              <w:jc w:val="center"/>
            </w:pPr>
            <w:r>
              <w:rPr/>
              <w:t xml:space="preserve">b08</w:t>
            </w:r>
          </w:p>
        </w:tc>
        <w:tc>
          <w:tcPr>
            <w:tcW w:w="5000" w:type="dxa"/>
          </w:tcPr>
          <w:p>
            <w:pPr/>
            <w:r>
              <w:rPr/>
              <w:t xml:space="preserve">Jazyková způsobilost v dalším cizím jazyce</w:t>
            </w:r>
          </w:p>
        </w:tc>
        <w:tc>
          <w:tcPr>
            <w:tcW w:w="2000" w:type="dxa"/>
          </w:tcPr>
          <w:p>
            <w:pPr>
              <w:jc w:val="center"/>
            </w:pPr>
            <w:r>
              <w:rPr/>
              <w:t xml:space="preserve">0</w:t>
            </w:r>
          </w:p>
        </w:tc>
      </w:tr>
    </w:tbl>
    <w:p>
      <w:pPr/>
      <w:r>
        <w:rPr>
          <w:sz w:val="16"/>
          <w:szCs w:val="16"/>
          <w:i w:val="1"/>
          <w:iCs w:val="1"/>
        </w:rPr>
        <w:t xml:space="preserve">Popisy úrovní naleznete zde: https://nsp.cz/downloads/Priloha_c10_manualu.pdf</w:t>
      </w:r>
    </w:p>
    <w:p/>
    <w:p>
      <w:pPr>
        <w:pStyle w:val="Heading3"/>
      </w:pPr>
      <w:bookmarkStart w:id="18" w:name="_Toc18"/>
      <w:r>
        <w:t>Digitální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2</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2</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3.3</w:t>
            </w:r>
          </w:p>
        </w:tc>
        <w:tc>
          <w:tcPr>
            <w:tcW w:w="5000" w:type="dxa"/>
          </w:tcPr>
          <w:p>
            <w:pPr/>
            <w:r>
              <w:rPr/>
              <w:t xml:space="preserve">Autorská práva a licence  </w:t>
            </w:r>
          </w:p>
        </w:tc>
        <w:tc>
          <w:tcPr>
            <w:tcW w:w="2000" w:type="dxa"/>
          </w:tcPr>
          <w:p>
            <w:pPr>
              <w:jc w:val="center"/>
            </w:pPr>
            <w:r>
              <w:rPr/>
              <w:t xml:space="preserve">1</w:t>
            </w:r>
          </w:p>
        </w:tc>
      </w:tr>
      <w:tr>
        <w:trPr/>
        <w:tc>
          <w:tcPr>
            <w:tcW w:w="2000" w:type="dxa"/>
          </w:tcPr>
          <w:p>
            <w:pPr>
              <w:jc w:val="center"/>
            </w:pPr>
            <w:r>
              <w:rPr/>
              <w:t xml:space="preserve">3.2</w:t>
            </w:r>
          </w:p>
        </w:tc>
        <w:tc>
          <w:tcPr>
            <w:tcW w:w="5000" w:type="dxa"/>
          </w:tcPr>
          <w:p>
            <w:pPr/>
            <w:r>
              <w:rPr/>
              <w:t xml:space="preserve">Integrace a přepracování digitálního obsahu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2.4</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2.3</w:t>
            </w:r>
          </w:p>
        </w:tc>
        <w:tc>
          <w:tcPr>
            <w:tcW w:w="5000" w:type="dxa"/>
          </w:tcPr>
          <w:p>
            <w:pPr/>
            <w:r>
              <w:rPr/>
              <w:t xml:space="preserve">Spolupráce prostřednictvím digitálních technologií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2</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2</w:t>
            </w:r>
          </w:p>
        </w:tc>
      </w:tr>
    </w:tbl>
    <w:p>
      <w:pPr/>
      <w:r>
        <w:rPr>
          <w:sz w:val="16"/>
          <w:szCs w:val="16"/>
          <w:i w:val="1"/>
          <w:iCs w:val="1"/>
        </w:rPr>
        <w:t xml:space="preserve">Popisy úrovní naleznete zde: https://nsp.cz/downloads/Priloha_c15_manualu.pdf</w:t>
      </w:r>
    </w:p>
    <w:p/>
    <w:p>
      <w:pPr>
        <w:pStyle w:val="Heading3"/>
      </w:pPr>
      <w:bookmarkStart w:id="19" w:name="_Toc19"/>
      <w:r>
        <w:t>Měkké kompetence</w:t>
      </w:r>
      <w:bookmarkEnd w:id="19"/>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2.1</w:t>
            </w:r>
          </w:p>
        </w:tc>
        <w:tc>
          <w:tcPr>
            <w:tcW w:w="5000" w:type="dxa"/>
          </w:tcPr>
          <w:p>
            <w:pPr/>
            <w:r>
              <w:rPr/>
              <w:t xml:space="preserve">Kompetence k efektivní komunikaci</w:t>
            </w:r>
          </w:p>
        </w:tc>
        <w:tc>
          <w:tcPr>
            <w:tcW w:w="2000" w:type="dxa"/>
          </w:tcPr>
          <w:p>
            <w:pPr>
              <w:jc w:val="center"/>
            </w:pPr>
            <w:r>
              <w:rPr/>
              <w:t xml:space="preserve">3</w:t>
            </w:r>
          </w:p>
        </w:tc>
      </w:tr>
      <w:tr>
        <w:trPr/>
        <w:tc>
          <w:tcPr>
            <w:tcW w:w="2000" w:type="dxa"/>
          </w:tcPr>
          <w:p>
            <w:pPr>
              <w:jc w:val="center"/>
            </w:pPr>
            <w:r>
              <w:rPr/>
              <w:t xml:space="preserve">2.6</w:t>
            </w:r>
          </w:p>
        </w:tc>
        <w:tc>
          <w:tcPr>
            <w:tcW w:w="5000" w:type="dxa"/>
          </w:tcPr>
          <w:p>
            <w:pPr/>
            <w:r>
              <w:rPr/>
              <w:t xml:space="preserve">Kompetence k vedení lidí</w:t>
            </w:r>
          </w:p>
        </w:tc>
        <w:tc>
          <w:tcPr>
            <w:tcW w:w="2000" w:type="dxa"/>
          </w:tcPr>
          <w:p>
            <w:pPr>
              <w:jc w:val="center"/>
            </w:pPr>
            <w:r>
              <w:rPr/>
              <w:t xml:space="preserve">0</w:t>
            </w:r>
          </w:p>
        </w:tc>
      </w:tr>
      <w:tr>
        <w:trPr/>
        <w:tc>
          <w:tcPr>
            <w:tcW w:w="2000" w:type="dxa"/>
          </w:tcPr>
          <w:p>
            <w:pPr>
              <w:jc w:val="center"/>
            </w:pPr>
            <w:r>
              <w:rPr/>
              <w:t xml:space="preserve">3.3</w:t>
            </w:r>
          </w:p>
        </w:tc>
        <w:tc>
          <w:tcPr>
            <w:tcW w:w="5000" w:type="dxa"/>
          </w:tcPr>
          <w:p>
            <w:pPr/>
            <w:r>
              <w:rPr/>
              <w:t xml:space="preserve">Kompetence k objevování a orientaci v informacích</w:t>
            </w:r>
          </w:p>
        </w:tc>
        <w:tc>
          <w:tcPr>
            <w:tcW w:w="2000" w:type="dxa"/>
          </w:tcPr>
          <w:p>
            <w:pPr>
              <w:jc w:val="center"/>
            </w:pPr>
            <w:r>
              <w:rPr/>
              <w:t xml:space="preserve">2</w:t>
            </w:r>
          </w:p>
        </w:tc>
      </w:tr>
      <w:tr>
        <w:trPr/>
        <w:tc>
          <w:tcPr>
            <w:tcW w:w="2000" w:type="dxa"/>
          </w:tcPr>
          <w:p>
            <w:pPr>
              <w:jc w:val="center"/>
            </w:pPr>
            <w:r>
              <w:rPr/>
              <w:t xml:space="preserve">1.4</w:t>
            </w:r>
          </w:p>
        </w:tc>
        <w:tc>
          <w:tcPr>
            <w:tcW w:w="5000" w:type="dxa"/>
          </w:tcPr>
          <w:p>
            <w:pPr/>
            <w:r>
              <w:rPr/>
              <w:t xml:space="preserve">Kompetence ke zvládání stresu a zátěže</w:t>
            </w:r>
          </w:p>
        </w:tc>
        <w:tc>
          <w:tcPr>
            <w:tcW w:w="2000" w:type="dxa"/>
          </w:tcPr>
          <w:p>
            <w:pPr>
              <w:jc w:val="center"/>
            </w:pPr>
            <w:r>
              <w:rPr/>
              <w:t xml:space="preserve">3</w:t>
            </w:r>
          </w:p>
        </w:tc>
      </w:tr>
      <w:tr>
        <w:trPr/>
        <w:tc>
          <w:tcPr>
            <w:tcW w:w="2000" w:type="dxa"/>
          </w:tcPr>
          <w:p>
            <w:pPr>
              <w:jc w:val="center"/>
            </w:pPr>
            <w:r>
              <w:rPr/>
              <w:t xml:space="preserve">4.1</w:t>
            </w:r>
          </w:p>
        </w:tc>
        <w:tc>
          <w:tcPr>
            <w:tcW w:w="5000" w:type="dxa"/>
          </w:tcPr>
          <w:p>
            <w:pPr/>
            <w:r>
              <w:rPr/>
              <w:t xml:space="preserve">Kompetence k aktivnímu přístupu</w:t>
            </w:r>
          </w:p>
        </w:tc>
        <w:tc>
          <w:tcPr>
            <w:tcW w:w="2000" w:type="dxa"/>
          </w:tcPr>
          <w:p>
            <w:pPr>
              <w:jc w:val="center"/>
            </w:pPr>
            <w:r>
              <w:rPr/>
              <w:t xml:space="preserve">3</w:t>
            </w:r>
          </w:p>
        </w:tc>
      </w:tr>
      <w:tr>
        <w:trPr/>
        <w:tc>
          <w:tcPr>
            <w:tcW w:w="2000" w:type="dxa"/>
          </w:tcPr>
          <w:p>
            <w:pPr>
              <w:jc w:val="center"/>
            </w:pPr>
            <w:r>
              <w:rPr/>
              <w:t xml:space="preserve">1.1</w:t>
            </w:r>
          </w:p>
        </w:tc>
        <w:tc>
          <w:tcPr>
            <w:tcW w:w="5000" w:type="dxa"/>
          </w:tcPr>
          <w:p>
            <w:pPr/>
            <w:r>
              <w:rPr/>
              <w:t xml:space="preserve">Kompetence k celoživotnímu vzdělávání</w:t>
            </w:r>
          </w:p>
        </w:tc>
        <w:tc>
          <w:tcPr>
            <w:tcW w:w="2000" w:type="dxa"/>
          </w:tcPr>
          <w:p>
            <w:pPr>
              <w:jc w:val="center"/>
            </w:pPr>
            <w:r>
              <w:rPr/>
              <w:t xml:space="preserve">2</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3</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3</w:t>
            </w:r>
          </w:p>
        </w:tc>
      </w:tr>
      <w:tr>
        <w:trPr/>
        <w:tc>
          <w:tcPr>
            <w:tcW w:w="2000" w:type="dxa"/>
          </w:tcPr>
          <w:p>
            <w:pPr>
              <w:jc w:val="center"/>
            </w:pPr>
            <w:r>
              <w:rPr/>
              <w:t xml:space="preserve">2.3</w:t>
            </w:r>
          </w:p>
        </w:tc>
        <w:tc>
          <w:tcPr>
            <w:tcW w:w="5000" w:type="dxa"/>
          </w:tcPr>
          <w:p>
            <w:pPr/>
            <w:r>
              <w:rPr/>
              <w:t xml:space="preserve">Kompetence k orientaci na zákazníka a uspokojování zákaznických potřeb</w:t>
            </w:r>
          </w:p>
        </w:tc>
        <w:tc>
          <w:tcPr>
            <w:tcW w:w="2000" w:type="dxa"/>
          </w:tcPr>
          <w:p>
            <w:pPr>
              <w:jc w:val="center"/>
            </w:pPr>
            <w:r>
              <w:rPr/>
              <w:t xml:space="preserve">0</w:t>
            </w:r>
          </w:p>
        </w:tc>
      </w:tr>
      <w:tr>
        <w:trPr/>
        <w:tc>
          <w:tcPr>
            <w:tcW w:w="2000" w:type="dxa"/>
          </w:tcPr>
          <w:p>
            <w:pPr>
              <w:jc w:val="center"/>
            </w:pPr>
            <w:r>
              <w:rPr/>
              <w:t xml:space="preserve">1.2</w:t>
            </w:r>
          </w:p>
        </w:tc>
        <w:tc>
          <w:tcPr>
            <w:tcW w:w="5000" w:type="dxa"/>
          </w:tcPr>
          <w:p>
            <w:pPr/>
            <w:r>
              <w:rPr/>
              <w:t xml:space="preserve">Kompetence k flexibilitě</w:t>
            </w:r>
          </w:p>
        </w:tc>
        <w:tc>
          <w:tcPr>
            <w:tcW w:w="2000" w:type="dxa"/>
          </w:tcPr>
          <w:p>
            <w:pPr>
              <w:jc w:val="center"/>
            </w:pPr>
            <w:r>
              <w:rPr/>
              <w:t xml:space="preserve">3</w:t>
            </w:r>
          </w:p>
        </w:tc>
      </w:tr>
      <w:tr>
        <w:trPr/>
        <w:tc>
          <w:tcPr>
            <w:tcW w:w="2000" w:type="dxa"/>
          </w:tcPr>
          <w:p>
            <w:pPr>
              <w:jc w:val="center"/>
            </w:pPr>
            <w:r>
              <w:rPr/>
              <w:t xml:space="preserve">1.3</w:t>
            </w:r>
          </w:p>
        </w:tc>
        <w:tc>
          <w:tcPr>
            <w:tcW w:w="5000" w:type="dxa"/>
          </w:tcPr>
          <w:p>
            <w:pPr/>
            <w:r>
              <w:rPr/>
              <w:t xml:space="preserve">Kompetence ke kreativitě</w:t>
            </w:r>
          </w:p>
        </w:tc>
        <w:tc>
          <w:tcPr>
            <w:tcW w:w="2000" w:type="dxa"/>
          </w:tcPr>
          <w:p>
            <w:pPr>
              <w:jc w:val="center"/>
            </w:pPr>
            <w:r>
              <w:rPr/>
              <w:t xml:space="preserve">3</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3</w:t>
            </w:r>
          </w:p>
        </w:tc>
      </w:tr>
      <w:tr>
        <w:trPr/>
        <w:tc>
          <w:tcPr>
            <w:tcW w:w="2000" w:type="dxa"/>
          </w:tcPr>
          <w:p>
            <w:pPr>
              <w:jc w:val="center"/>
            </w:pPr>
            <w:r>
              <w:rPr/>
              <w:t xml:space="preserve">2.4</w:t>
            </w:r>
          </w:p>
        </w:tc>
        <w:tc>
          <w:tcPr>
            <w:tcW w:w="5000" w:type="dxa"/>
          </w:tcPr>
          <w:p>
            <w:pPr/>
            <w:r>
              <w:rPr/>
              <w:t xml:space="preserve">Kompetence k ovlivňování a rozvíjení ostatních</w:t>
            </w:r>
          </w:p>
        </w:tc>
        <w:tc>
          <w:tcPr>
            <w:tcW w:w="2000" w:type="dxa"/>
          </w:tcPr>
          <w:p>
            <w:pPr>
              <w:jc w:val="center"/>
            </w:pPr>
            <w:r>
              <w:rPr/>
              <w:t xml:space="preserve">0</w:t>
            </w:r>
          </w:p>
        </w:tc>
      </w:tr>
    </w:tbl>
    <w:p>
      <w:pPr/>
      <w:r>
        <w:rPr>
          <w:sz w:val="16"/>
          <w:szCs w:val="16"/>
          <w:i w:val="1"/>
          <w:iCs w:val="1"/>
        </w:rPr>
        <w:t xml:space="preserve">Popisy úrovní naleznete zde: https://nsp.cz/downloads/Priloha_c9_manualu.pdf</w:t>
      </w:r>
    </w:p>
    <w:p/>
    <w:p>
      <w:pPr>
        <w:pStyle w:val="Heading2"/>
      </w:pPr>
      <w:bookmarkStart w:id="20" w:name="_Toc20"/>
      <w:r>
        <w:t>Zdravotní podmínky</w:t>
      </w:r>
      <w:bookmarkEnd w:id="20"/>
    </w:p>
    <w:p>
      <w:pPr>
        <w:pStyle w:val="Heading3"/>
      </w:pPr>
      <w:bookmarkStart w:id="21" w:name="_Toc21"/>
      <w:r>
        <w:t>Onemocnění omezující výkon povolání / specializace povolání.</w:t>
      </w:r>
      <w:bookmarkEnd w:id="21"/>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Onemocnění pohybového a nervového systému, omezující jemnou motoriku, koordinaci pohybů a svalovou sílu</w:t>
      </w:r>
    </w:p>
    <w:p>
      <w:pPr>
        <w:numPr>
          <w:ilvl w:val="0"/>
          <w:numId w:val="5"/>
        </w:numPr>
      </w:pPr>
      <w:r>
        <w:rPr/>
        <w:t xml:space="preserve">Závrať jakékoliv etiologie</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Závažná nervová onemocnění a psychosomatická onemocnění</w:t>
      </w:r>
    </w:p>
    <w:p>
      <w:pPr>
        <w:numPr>
          <w:ilvl w:val="0"/>
          <w:numId w:val="5"/>
        </w:numPr>
      </w:pPr>
      <w:r>
        <w:rPr/>
        <w:t xml:space="preserve">Závažné stavy po úrazech či operacích pohybového systému</w:t>
      </w:r>
    </w:p>
    <w:p>
      <w:pPr>
        <w:pStyle w:val="Heading3"/>
      </w:pPr>
      <w:bookmarkStart w:id="22" w:name="_Toc22"/>
      <w:r>
        <w:t>Onemocnění vylučující výkon povolání / specializace povolání.e</w:t>
      </w:r>
      <w:bookmarkEnd w:id="22"/>
    </w:p>
    <w:p>
      <w:pPr>
        <w:numPr>
          <w:ilvl w:val="0"/>
          <w:numId w:val="5"/>
        </w:numPr>
      </w:pPr>
      <w:r>
        <w:rPr/>
        <w:t xml:space="preserve">Prognosticky závažná onemocnění cév a nervů horních končetin</w:t>
      </w:r>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1BCA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Strojník obsluhy stavebních strojů</dc:title>
  <dc:description>Strojník obsluhy stavebních strojů řídí, obsluhuje a udržuje stavební pracovní stroje a zařízení.</dc:description>
  <dc:subject/>
  <cp:keywords/>
  <cp:category>Povolání</cp:category>
  <cp:lastModifiedBy/>
  <dcterms:created xsi:type="dcterms:W3CDTF">2017-11-22T09:25:10+01:00</dcterms:created>
  <dcterms:modified xsi:type="dcterms:W3CDTF">2024-03-26T10:03:33+01:00</dcterms:modified>
</cp:coreProperties>
</file>

<file path=docProps/custom.xml><?xml version="1.0" encoding="utf-8"?>
<Properties xmlns="http://schemas.openxmlformats.org/officeDocument/2006/custom-properties" xmlns:vt="http://schemas.openxmlformats.org/officeDocument/2006/docPropsVTypes"/>
</file>