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Učitel odborného výcviku SŠ elektrotechnika</w:t>
      </w:r>
      <w:bookmarkEnd w:id="1"/>
    </w:p>
    <w:p>
      <w:pPr/>
      <w:r>
        <w:rPr/>
        <w:t xml:space="preserve">Jednotka práce bude aktualizována v souladu s platnou legislativou v průběhu roku 2013 – 2014.
Učitel odborného výcviku střední školy provádí vzdělávací a výchovnou činnost při vyučování žáků střední školy v odborném výcviku v oboru vzdělání Elektrotechnika.</w:t>
      </w:r>
    </w:p>
    <w:p/>
    <w:tbl>
      <w:tblGrid>
        <w:gridCol w:w="3000" w:type="dxa"/>
        <w:gridCol w:w="6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r>
              <w:rPr>
                <w:b w:val="1"/>
                <w:bCs w:val="1"/>
              </w:rPr>
              <w:t xml:space="preserve">Odborný směr:</w:t>
            </w:r>
          </w:p>
        </w:tc>
        <w:tc>
          <w:tcPr>
            <w:tcW w:w="6000" w:type="dxa"/>
          </w:tcPr>
          <w:p>
            <w:pPr/>
            <w:r>
              <w:rPr/>
              <w:t xml:space="preserve">Věda, vzdělávání, sport</w:t>
            </w:r>
          </w:p>
        </w:tc>
      </w:tr>
      <w:tr>
        <w:trPr/>
        <w:tc>
          <w:tcPr/>
          <w:p>
            <w:pPr/>
            <w:r>
              <w:rPr>
                <w:b w:val="1"/>
                <w:bCs w:val="1"/>
              </w:rPr>
              <w:t xml:space="preserve">Odborný podsměr:</w:t>
            </w:r>
          </w:p>
        </w:tc>
        <w:tc>
          <w:tcPr/>
          <w:p>
            <w:pPr/>
            <w:r>
              <w:rPr/>
              <w:t xml:space="preserve">základní, střední a vyšší vzdělávání</w:t>
            </w:r>
          </w:p>
        </w:tc>
      </w:tr>
      <w:tr>
        <w:trPr/>
        <w:tc>
          <w:tcPr/>
          <w:p>
            <w:pPr/>
            <w:r>
              <w:rPr>
                <w:b w:val="1"/>
                <w:bCs w:val="1"/>
              </w:rPr>
              <w:t xml:space="preserve">Kvalifikační úroveň:</w:t>
            </w:r>
          </w:p>
        </w:tc>
        <w:tc>
          <w:tcPr/>
          <w:p>
            <w:pPr/>
            <w:r>
              <w:rPr/>
              <w:t xml:space="preserve">Bakalářský studijní program; Vyšší odborné vzdělání</w:t>
            </w:r>
          </w:p>
        </w:tc>
      </w:tr>
      <w:tr>
        <w:trPr/>
        <w:tc>
          <w:tcPr/>
          <w:p>
            <w:pPr/>
            <w:r>
              <w:rPr>
                <w:b w:val="1"/>
                <w:bCs w:val="1"/>
              </w:rPr>
              <w:t xml:space="preserve">Alternativní názvy:</w:t>
            </w:r>
          </w:p>
        </w:tc>
        <w:tc>
          <w:tcPr/>
          <w:p>
            <w:pPr/>
            <w:r>
              <w:rPr/>
              <w:t xml:space="preserve">Pedagog, Učitel, Vocational training teacher of secondary school</w:t>
            </w:r>
          </w:p>
        </w:tc>
      </w:tr>
      <w:tr>
        <w:trPr/>
        <w:tc>
          <w:tcPr/>
          <w:p>
            <w:pPr/>
            <w:r>
              <w:rPr>
                <w:b w:val="1"/>
                <w:bCs w:val="1"/>
              </w:rPr>
              <w:t xml:space="preserve">Nadřízené povolání:</w:t>
            </w:r>
          </w:p>
        </w:tc>
        <w:tc>
          <w:tcPr/>
          <w:p>
            <w:pPr/>
            <w:r>
              <w:rPr/>
              <w:t xml:space="preserve">Učitel odborného výcviku střední školy</w:t>
            </w:r>
          </w:p>
        </w:tc>
      </w:tr>
      <w:tr>
        <w:trPr/>
        <w:tc>
          <w:tcPr/>
          <w:p>
            <w:pPr/>
            <w:r>
              <w:rPr>
                <w:b w:val="1"/>
                <w:bCs w:val="1"/>
              </w:rPr>
              <w:t xml:space="preserve">Příbuzné specializace:</w:t>
            </w:r>
          </w:p>
        </w:tc>
        <w:tc>
          <w:tcPr/>
          <w:p>
            <w:pPr/>
            <w:r>
              <w:rPr/>
              <w:t xml:space="preserve">Učitel odborného výcviku SŠ elektrotechnika, Učitel odborného výcviku SŠ potravinářství, Učitel odborného výcviku SŠ textilní, Učitel odborného výcviku SŠ hutnictví, Učitel odborného výcviku SŠ papírenské, Učitel odborného výcviku SŠ strojírenství, Učitel odborného výcviku SŠ obuvnictví, Učitel odborného výcviku SŠ stavebnictví, Učitel odborného výcviku SŠ zemědělství a lesy, Učitel odborného výcviku SŠ dřevařské</w:t>
            </w:r>
          </w:p>
        </w:tc>
      </w:tr>
      <w:tr>
        <w:trPr/>
        <w:tc>
          <w:tcPr/>
          <w:p>
            <w:pPr/>
            <w:r>
              <w:rPr>
                <w:b w:val="1"/>
                <w:bCs w:val="1"/>
              </w:rPr>
              <w:t xml:space="preserve">Regulovaná jednotka práce:</w:t>
            </w:r>
          </w:p>
        </w:tc>
        <w:tc>
          <w:tcPr/>
          <w:p>
            <w:pPr/>
            <w:r>
              <w:rPr/>
              <w:t xml:space="preserve">ne</w:t>
            </w:r>
          </w:p>
        </w:tc>
      </w:tr>
    </w:tbl>
    <w:p/>
    <w:p>
      <w:pPr>
        <w:pStyle w:val="Heading2"/>
      </w:pPr>
      <w:bookmarkStart w:id="2" w:name="_Toc2"/>
      <w:r>
        <w:t>Pracovní činnosti</w:t>
      </w:r>
      <w:bookmarkEnd w:id="2"/>
    </w:p>
    <w:p>
      <w:pPr>
        <w:numPr>
          <w:ilvl w:val="0"/>
          <w:numId w:val="5"/>
        </w:numPr>
      </w:pPr>
      <w:r>
        <w:rPr/>
        <w:t xml:space="preserve">Vzdělávání a výchova zaměřená na získávání vědomostí a dovedností žáků v odborném výcviku, který spočívá v osvojování a procvičování základních dovedností, činností a návyků, ve zhotovení výrobků, ve výkonu služeb nebo ve výkonu prací, které mají materiální hodnotu, s odborným zaměřením na skupinu oborů vzdělání Elektrotechnika, poskytujících střední vzdělání s výučním listem nebo střední vzdělání s maturitní zkouškou v rámci školního vzdělávacího programu střední školy s příslušným odborným zaměřením.</w:t>
      </w:r>
    </w:p>
    <w:p>
      <w:pPr>
        <w:numPr>
          <w:ilvl w:val="0"/>
          <w:numId w:val="5"/>
        </w:numPr>
      </w:pPr>
      <w:r>
        <w:rPr/>
        <w:t xml:space="preserve">Studium nových poznatků v oboru a jejich následná aplikace do vzdělávacích a výcvikových programů v rámci školního vzdělávacího programu, popřípadě do individuálních vzdělávacích plánů.</w:t>
      </w:r>
    </w:p>
    <w:p>
      <w:pPr>
        <w:numPr>
          <w:ilvl w:val="0"/>
          <w:numId w:val="5"/>
        </w:numPr>
      </w:pPr>
      <w:r>
        <w:rPr/>
        <w:t xml:space="preserve">Hodnocení účinnosti vzdělávací a výchovné činnosti a nových výukových postupů ve vzdělávání.</w:t>
      </w:r>
    </w:p>
    <w:p>
      <w:pPr>
        <w:numPr>
          <w:ilvl w:val="0"/>
          <w:numId w:val="5"/>
        </w:numPr>
      </w:pPr>
      <w:r>
        <w:rPr/>
        <w:t xml:space="preserve">Příprava a zadávaní úkolů, cvičení a zkoušení s cílem cvičit žáky, vyhodnocovat jejich znalosti a pokrok v rámci odborného výcviku, tvorba textových a jiných podpůrných učebních materiálů a pomůcek.</w:t>
      </w:r>
    </w:p>
    <w:p>
      <w:pPr>
        <w:numPr>
          <w:ilvl w:val="0"/>
          <w:numId w:val="5"/>
        </w:numPr>
      </w:pPr>
      <w:r>
        <w:rPr/>
        <w:t xml:space="preserve">Provádění pedagogického poradenství v oblasti odborného výcviku, podněcování osobního vývoje žáků a diskutování o jejich pokrocích s rodiči a třídním učitelem a poskytování konzultací žákům, vykonávání úkolů a prací souvisejících s přímou pedagogickou činností, včetně dohledu nad žáky při odborném výcviku.</w:t>
      </w:r>
    </w:p>
    <w:p>
      <w:pPr>
        <w:numPr>
          <w:ilvl w:val="0"/>
          <w:numId w:val="5"/>
        </w:numPr>
      </w:pPr>
      <w:r>
        <w:rPr/>
        <w:t xml:space="preserve">Příprava zpráv, hodnocení žáků a jejich klasifikace; konání porad s učiteli a schůzek s rodiči.</w:t>
      </w:r>
    </w:p>
    <w:p>
      <w:pPr>
        <w:numPr>
          <w:ilvl w:val="0"/>
          <w:numId w:val="5"/>
        </w:numPr>
      </w:pPr>
      <w:r>
        <w:rPr/>
        <w:t xml:space="preserve">Vedení evidence o pedagogické činnosti a o výsledcích žáků.</w:t>
      </w:r>
    </w:p>
    <w:p>
      <w:pPr>
        <w:numPr>
          <w:ilvl w:val="0"/>
          <w:numId w:val="5"/>
        </w:numPr>
      </w:pPr>
      <w:r>
        <w:rPr/>
        <w:t xml:space="preserve">Vedení odborného výcviku, vedení ročníkových a závěrečných prací žáků.</w:t>
      </w:r>
    </w:p>
    <w:p>
      <w:pPr>
        <w:numPr>
          <w:ilvl w:val="0"/>
          <w:numId w:val="5"/>
        </w:numPr>
      </w:pPr>
      <w:r>
        <w:rPr/>
        <w:t xml:space="preserve">Spolupráce s firmami, organizacemi a institucemi při realizaci odborného výcviku.</w:t>
      </w:r>
    </w:p>
    <w:p>
      <w:pPr>
        <w:numPr>
          <w:ilvl w:val="0"/>
          <w:numId w:val="5"/>
        </w:numPr>
      </w:pPr>
      <w:r>
        <w:rPr/>
        <w:t xml:space="preserve">Komplexní koordinace vzdělávání v odborném výcviku se znalostmi a dovednostmi z jiných oborů vzdělání, popř. tvorba koncepcí rozvoje oboru středního vzdělání s výučním listem nebo skupiny příbuzných oborů.</w:t>
      </w:r>
    </w:p>
    <w:p/>
    <w:p>
      <w:pPr>
        <w:pStyle w:val="Heading2"/>
      </w:pPr>
      <w:bookmarkStart w:id="3" w:name="_Toc3"/>
      <w:r>
        <w:t>CZ-ISCO</w:t>
      </w:r>
      <w:bookmarkEnd w:id="3"/>
    </w:p>
    <w:p>
      <w:pPr>
        <w:numPr>
          <w:ilvl w:val="0"/>
          <w:numId w:val="5"/>
        </w:numPr>
      </w:pPr>
      <w:r>
        <w:rPr/>
        <w:t xml:space="preserve">Učitelé odborného výcviku (kromě pro žáky se speciálními vzdělávacími potřebami)</w:t>
      </w:r>
    </w:p>
    <w:p>
      <w:pPr>
        <w:numPr>
          <w:ilvl w:val="0"/>
          <w:numId w:val="5"/>
        </w:numPr>
      </w:pPr>
      <w:r>
        <w:rPr/>
        <w:t xml:space="preserve">Učitelé odborných předmětů, praktického vyučování, odborného výcviku (kromě pro žáky se speciálními vzdělávacími potřebami) a lektoři dalšího vzdělávání</w:t>
      </w:r>
    </w:p>
    <w:p/>
    <w:p>
      <w:pPr>
        <w:pStyle w:val="Heading3"/>
      </w:pPr>
      <w:bookmarkStart w:id="4" w:name="_Toc4"/>
      <w:r>
        <w:t>Hrubé měsíční mzdy podle krajů v roce 2020</w:t>
      </w:r>
      <w:bookmarkEnd w:id="4"/>
    </w:p>
    <w:p>
      <w:pPr>
        <w:pStyle w:val="Heading4"/>
      </w:pPr>
      <w:bookmarkStart w:id="5" w:name="_Toc5"/>
      <w:r>
        <w:t>Učitelé odborných předmětů, praktického vyučování, odborného výcviku (kromě pro žáky se speciálními vzdělávacími potřebami) a lektoři dalšího vzdělávání (CZ-ISCO 2320)</w:t>
      </w:r>
      <w:bookmarkEnd w:id="5"/>
    </w:p>
    <w:tbl>
      <w:tblGrid>
        <w:gridCol w:w="2400" w:type="dxa"/>
        <w:gridCol w:w="1100" w:type="dxa"/>
        <w:gridCol w:w="1100" w:type="dxa"/>
        <w:gridCol w:w="1100" w:type="dxa"/>
        <w:gridCol w:w="1100" w:type="dxa"/>
        <w:gridCol w:w="1100" w:type="dxa"/>
        <w:gridCol w:w="1100" w:type="dxa"/>
      </w:tblGrid>
      <w:tblPr>
        <w:jc w:val="start"/>
        <w:tblW w:w="0" w:type="auto"/>
        <w:tblCellSpacing w:w="50" w:type="dxa"/>
        <w:tblLayout w:type="autofit"/>
        <w:bidiVisual w:val="0"/>
        <w:tblCellMar>
          <w:top w:w="80" w:type="dxa"/>
          <w:left w:w="80" w:type="dxa"/>
          <w:right w:w="80" w:type="dxa"/>
          <w:bottom w:w="80" w:type="dxa"/>
        </w:tblCellMar>
      </w:tblPr>
      <w:tr>
        <w:trPr/>
        <w:tc>
          <w:tcPr>
            <w:tcW w:w="2400" w:type="dxa"/>
          </w:tcPr>
          <w:p/>
        </w:tc>
        <w:tc>
          <w:tcPr>
            <w:tcW w:w="3300" w:type="dxa"/>
            <w:gridSpan w:val="3"/>
          </w:tcPr>
          <w:p>
            <w:pPr>
              <w:jc w:val="center"/>
            </w:pPr>
            <w:r>
              <w:rPr>
                <w:b w:val="1"/>
                <w:bCs w:val="1"/>
              </w:rPr>
              <w:t xml:space="preserve">Mzdová sféra</w:t>
            </w:r>
          </w:p>
        </w:tc>
        <w:tc>
          <w:tcPr>
            <w:tcW w:w="3300" w:type="dxa"/>
            <w:gridSpan w:val="3"/>
          </w:tcPr>
          <w:p>
            <w:pPr>
              <w:jc w:val="center"/>
            </w:pPr>
            <w:r>
              <w:rPr>
                <w:b w:val="1"/>
                <w:bCs w:val="1"/>
              </w:rPr>
              <w:t xml:space="preserve">Platová sféra</w:t>
            </w:r>
          </w:p>
        </w:tc>
      </w:tr>
      <w:tr>
        <w:trPr/>
        <w:tc>
          <w:tcPr>
            <w:tcW w:w="2400" w:type="dxa"/>
          </w:tcPr>
          <w:p>
            <w:pPr/>
            <w:r>
              <w:rPr>
                <w:b w:val="1"/>
                <w:bCs w:val="1"/>
              </w:rPr>
              <w:t xml:space="preserve">Kraj</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r>
      <w:tr>
        <w:trPr/>
        <w:tc>
          <w:tcPr>
            <w:tcW w:w="2000" w:type="dxa"/>
          </w:tcPr>
          <w:p>
            <w:pPr/>
            <w:r>
              <w:rPr/>
              <w:t xml:space="preserve">Hlavní město Praha</w:t>
            </w:r>
          </w:p>
        </w:tc>
        <w:tc>
          <w:tcPr>
            <w:tcW w:w="1000" w:type="dxa"/>
          </w:tcPr>
          <w:p/>
        </w:tc>
        <w:tc>
          <w:tcPr>
            <w:tcW w:w="1000" w:type="dxa"/>
          </w:tcPr>
          <w:p/>
        </w:tc>
        <w:tc>
          <w:tcPr>
            <w:tcW w:w="1000" w:type="dxa"/>
          </w:tcPr>
          <w:p/>
        </w:tc>
        <w:tc>
          <w:tcPr>
            <w:tcW w:w="1000" w:type="dxa"/>
          </w:tcPr>
          <w:p>
            <w:pPr>
              <w:jc w:val="center"/>
            </w:pPr>
            <w:r>
              <w:rPr/>
              <w:t xml:space="preserve">38 712 Kč</w:t>
            </w:r>
          </w:p>
        </w:tc>
        <w:tc>
          <w:tcPr>
            <w:tcW w:w="1000" w:type="dxa"/>
          </w:tcPr>
          <w:p>
            <w:pPr>
              <w:jc w:val="center"/>
            </w:pPr>
            <w:r>
              <w:rPr/>
              <w:t xml:space="preserve">46 315 Kč</w:t>
            </w:r>
          </w:p>
        </w:tc>
        <w:tc>
          <w:tcPr>
            <w:tcW w:w="1000" w:type="dxa"/>
          </w:tcPr>
          <w:p>
            <w:pPr>
              <w:jc w:val="center"/>
            </w:pPr>
            <w:r>
              <w:rPr/>
              <w:t xml:space="preserve">55 773 Kč</w:t>
            </w:r>
          </w:p>
        </w:tc>
      </w:tr>
      <w:tr>
        <w:trPr/>
        <w:tc>
          <w:tcPr>
            <w:tcW w:w="2000" w:type="dxa"/>
          </w:tcPr>
          <w:p>
            <w:pPr/>
            <w:r>
              <w:rPr/>
              <w:t xml:space="preserve">Středočeský kraj</w:t>
            </w:r>
          </w:p>
        </w:tc>
        <w:tc>
          <w:tcPr>
            <w:tcW w:w="1000" w:type="dxa"/>
          </w:tcPr>
          <w:p/>
        </w:tc>
        <w:tc>
          <w:tcPr>
            <w:tcW w:w="1000" w:type="dxa"/>
          </w:tcPr>
          <w:p/>
        </w:tc>
        <w:tc>
          <w:tcPr>
            <w:tcW w:w="1000" w:type="dxa"/>
          </w:tcPr>
          <w:p/>
        </w:tc>
        <w:tc>
          <w:tcPr>
            <w:tcW w:w="1000" w:type="dxa"/>
          </w:tcPr>
          <w:p>
            <w:pPr>
              <w:jc w:val="center"/>
            </w:pPr>
            <w:r>
              <w:rPr/>
              <w:t xml:space="preserve">35 874 Kč</w:t>
            </w:r>
          </w:p>
        </w:tc>
        <w:tc>
          <w:tcPr>
            <w:tcW w:w="1000" w:type="dxa"/>
          </w:tcPr>
          <w:p>
            <w:pPr>
              <w:jc w:val="center"/>
            </w:pPr>
            <w:r>
              <w:rPr/>
              <w:t xml:space="preserve">43 206 Kč</w:t>
            </w:r>
          </w:p>
        </w:tc>
        <w:tc>
          <w:tcPr>
            <w:tcW w:w="1000" w:type="dxa"/>
          </w:tcPr>
          <w:p>
            <w:pPr>
              <w:jc w:val="center"/>
            </w:pPr>
            <w:r>
              <w:rPr/>
              <w:t xml:space="preserve">52 037 Kč</w:t>
            </w:r>
          </w:p>
        </w:tc>
      </w:tr>
      <w:tr>
        <w:trPr/>
        <w:tc>
          <w:tcPr>
            <w:tcW w:w="2000" w:type="dxa"/>
          </w:tcPr>
          <w:p>
            <w:pPr/>
            <w:r>
              <w:rPr/>
              <w:t xml:space="preserve">Jihočeský kraj</w:t>
            </w:r>
          </w:p>
        </w:tc>
        <w:tc>
          <w:tcPr>
            <w:tcW w:w="1000" w:type="dxa"/>
          </w:tcPr>
          <w:p/>
        </w:tc>
        <w:tc>
          <w:tcPr>
            <w:tcW w:w="1000" w:type="dxa"/>
          </w:tcPr>
          <w:p/>
        </w:tc>
        <w:tc>
          <w:tcPr>
            <w:tcW w:w="1000" w:type="dxa"/>
          </w:tcPr>
          <w:p/>
        </w:tc>
        <w:tc>
          <w:tcPr>
            <w:tcW w:w="1000" w:type="dxa"/>
          </w:tcPr>
          <w:p>
            <w:pPr>
              <w:jc w:val="center"/>
            </w:pPr>
            <w:r>
              <w:rPr/>
              <w:t xml:space="preserve">36 966 Kč</w:t>
            </w:r>
          </w:p>
        </w:tc>
        <w:tc>
          <w:tcPr>
            <w:tcW w:w="1000" w:type="dxa"/>
          </w:tcPr>
          <w:p>
            <w:pPr>
              <w:jc w:val="center"/>
            </w:pPr>
            <w:r>
              <w:rPr/>
              <w:t xml:space="preserve">44 018 Kč</w:t>
            </w:r>
          </w:p>
        </w:tc>
        <w:tc>
          <w:tcPr>
            <w:tcW w:w="1000" w:type="dxa"/>
          </w:tcPr>
          <w:p>
            <w:pPr>
              <w:jc w:val="center"/>
            </w:pPr>
            <w:r>
              <w:rPr/>
              <w:t xml:space="preserve">52 185 Kč</w:t>
            </w:r>
          </w:p>
        </w:tc>
      </w:tr>
      <w:tr>
        <w:trPr/>
        <w:tc>
          <w:tcPr>
            <w:tcW w:w="2000" w:type="dxa"/>
          </w:tcPr>
          <w:p>
            <w:pPr/>
            <w:r>
              <w:rPr/>
              <w:t xml:space="preserve">Plzeňský kraj</w:t>
            </w:r>
          </w:p>
        </w:tc>
        <w:tc>
          <w:tcPr>
            <w:tcW w:w="1000" w:type="dxa"/>
          </w:tcPr>
          <w:p/>
        </w:tc>
        <w:tc>
          <w:tcPr>
            <w:tcW w:w="1000" w:type="dxa"/>
          </w:tcPr>
          <w:p/>
        </w:tc>
        <w:tc>
          <w:tcPr>
            <w:tcW w:w="1000" w:type="dxa"/>
          </w:tcPr>
          <w:p/>
        </w:tc>
        <w:tc>
          <w:tcPr>
            <w:tcW w:w="1000" w:type="dxa"/>
          </w:tcPr>
          <w:p>
            <w:pPr>
              <w:jc w:val="center"/>
            </w:pPr>
            <w:r>
              <w:rPr/>
              <w:t xml:space="preserve">37 611 Kč</w:t>
            </w:r>
          </w:p>
        </w:tc>
        <w:tc>
          <w:tcPr>
            <w:tcW w:w="1000" w:type="dxa"/>
          </w:tcPr>
          <w:p>
            <w:pPr>
              <w:jc w:val="center"/>
            </w:pPr>
            <w:r>
              <w:rPr/>
              <w:t xml:space="preserve">44 872 Kč</w:t>
            </w:r>
          </w:p>
        </w:tc>
        <w:tc>
          <w:tcPr>
            <w:tcW w:w="1000" w:type="dxa"/>
          </w:tcPr>
          <w:p>
            <w:pPr>
              <w:jc w:val="center"/>
            </w:pPr>
            <w:r>
              <w:rPr/>
              <w:t xml:space="preserve">53 494 Kč</w:t>
            </w:r>
          </w:p>
        </w:tc>
      </w:tr>
      <w:tr>
        <w:trPr/>
        <w:tc>
          <w:tcPr>
            <w:tcW w:w="2000" w:type="dxa"/>
          </w:tcPr>
          <w:p>
            <w:pPr/>
            <w:r>
              <w:rPr/>
              <w:t xml:space="preserve">Karlovarský kraj</w:t>
            </w:r>
          </w:p>
        </w:tc>
        <w:tc>
          <w:tcPr>
            <w:tcW w:w="1000" w:type="dxa"/>
          </w:tcPr>
          <w:p/>
        </w:tc>
        <w:tc>
          <w:tcPr>
            <w:tcW w:w="1000" w:type="dxa"/>
          </w:tcPr>
          <w:p/>
        </w:tc>
        <w:tc>
          <w:tcPr>
            <w:tcW w:w="1000" w:type="dxa"/>
          </w:tcPr>
          <w:p/>
        </w:tc>
        <w:tc>
          <w:tcPr>
            <w:tcW w:w="1000" w:type="dxa"/>
          </w:tcPr>
          <w:p>
            <w:pPr>
              <w:jc w:val="center"/>
            </w:pPr>
            <w:r>
              <w:rPr/>
              <w:t xml:space="preserve">37 464 Kč</w:t>
            </w:r>
          </w:p>
        </w:tc>
        <w:tc>
          <w:tcPr>
            <w:tcW w:w="1000" w:type="dxa"/>
          </w:tcPr>
          <w:p>
            <w:pPr>
              <w:jc w:val="center"/>
            </w:pPr>
            <w:r>
              <w:rPr/>
              <w:t xml:space="preserve">43 542 Kč</w:t>
            </w:r>
          </w:p>
        </w:tc>
        <w:tc>
          <w:tcPr>
            <w:tcW w:w="1000" w:type="dxa"/>
          </w:tcPr>
          <w:p>
            <w:pPr>
              <w:jc w:val="center"/>
            </w:pPr>
            <w:r>
              <w:rPr/>
              <w:t xml:space="preserve">52 009 Kč</w:t>
            </w:r>
          </w:p>
        </w:tc>
      </w:tr>
      <w:tr>
        <w:trPr/>
        <w:tc>
          <w:tcPr>
            <w:tcW w:w="2000" w:type="dxa"/>
          </w:tcPr>
          <w:p>
            <w:pPr/>
            <w:r>
              <w:rPr/>
              <w:t xml:space="preserve">Ústecký kraj</w:t>
            </w:r>
          </w:p>
        </w:tc>
        <w:tc>
          <w:tcPr>
            <w:tcW w:w="1000" w:type="dxa"/>
          </w:tcPr>
          <w:p/>
        </w:tc>
        <w:tc>
          <w:tcPr>
            <w:tcW w:w="1000" w:type="dxa"/>
          </w:tcPr>
          <w:p/>
        </w:tc>
        <w:tc>
          <w:tcPr>
            <w:tcW w:w="1000" w:type="dxa"/>
          </w:tcPr>
          <w:p/>
        </w:tc>
        <w:tc>
          <w:tcPr>
            <w:tcW w:w="1000" w:type="dxa"/>
          </w:tcPr>
          <w:p>
            <w:pPr>
              <w:jc w:val="center"/>
            </w:pPr>
            <w:r>
              <w:rPr/>
              <w:t xml:space="preserve">35 537 Kč</w:t>
            </w:r>
          </w:p>
        </w:tc>
        <w:tc>
          <w:tcPr>
            <w:tcW w:w="1000" w:type="dxa"/>
          </w:tcPr>
          <w:p>
            <w:pPr>
              <w:jc w:val="center"/>
            </w:pPr>
            <w:r>
              <w:rPr/>
              <w:t xml:space="preserve">41 384 Kč</w:t>
            </w:r>
          </w:p>
        </w:tc>
        <w:tc>
          <w:tcPr>
            <w:tcW w:w="1000" w:type="dxa"/>
          </w:tcPr>
          <w:p>
            <w:pPr>
              <w:jc w:val="center"/>
            </w:pPr>
            <w:r>
              <w:rPr/>
              <w:t xml:space="preserve">51 157 Kč</w:t>
            </w:r>
          </w:p>
        </w:tc>
      </w:tr>
      <w:tr>
        <w:trPr/>
        <w:tc>
          <w:tcPr>
            <w:tcW w:w="2000" w:type="dxa"/>
          </w:tcPr>
          <w:p>
            <w:pPr/>
            <w:r>
              <w:rPr/>
              <w:t xml:space="preserve">Liberecký kraj</w:t>
            </w:r>
          </w:p>
        </w:tc>
        <w:tc>
          <w:tcPr>
            <w:tcW w:w="1000" w:type="dxa"/>
          </w:tcPr>
          <w:p/>
        </w:tc>
        <w:tc>
          <w:tcPr>
            <w:tcW w:w="1000" w:type="dxa"/>
          </w:tcPr>
          <w:p/>
        </w:tc>
        <w:tc>
          <w:tcPr>
            <w:tcW w:w="1000" w:type="dxa"/>
          </w:tcPr>
          <w:p/>
        </w:tc>
        <w:tc>
          <w:tcPr>
            <w:tcW w:w="1000" w:type="dxa"/>
          </w:tcPr>
          <w:p>
            <w:pPr>
              <w:jc w:val="center"/>
            </w:pPr>
            <w:r>
              <w:rPr/>
              <w:t xml:space="preserve">36 325 Kč</w:t>
            </w:r>
          </w:p>
        </w:tc>
        <w:tc>
          <w:tcPr>
            <w:tcW w:w="1000" w:type="dxa"/>
          </w:tcPr>
          <w:p>
            <w:pPr>
              <w:jc w:val="center"/>
            </w:pPr>
            <w:r>
              <w:rPr/>
              <w:t xml:space="preserve">42 561 Kč</w:t>
            </w:r>
          </w:p>
        </w:tc>
        <w:tc>
          <w:tcPr>
            <w:tcW w:w="1000" w:type="dxa"/>
          </w:tcPr>
          <w:p>
            <w:pPr>
              <w:jc w:val="center"/>
            </w:pPr>
            <w:r>
              <w:rPr/>
              <w:t xml:space="preserve">52 161 Kč</w:t>
            </w:r>
          </w:p>
        </w:tc>
      </w:tr>
      <w:tr>
        <w:trPr/>
        <w:tc>
          <w:tcPr>
            <w:tcW w:w="2000" w:type="dxa"/>
          </w:tcPr>
          <w:p>
            <w:pPr/>
            <w:r>
              <w:rPr/>
              <w:t xml:space="preserve">Královéhradecký kraj</w:t>
            </w:r>
          </w:p>
        </w:tc>
        <w:tc>
          <w:tcPr>
            <w:tcW w:w="1000" w:type="dxa"/>
          </w:tcPr>
          <w:p/>
        </w:tc>
        <w:tc>
          <w:tcPr>
            <w:tcW w:w="1000" w:type="dxa"/>
          </w:tcPr>
          <w:p/>
        </w:tc>
        <w:tc>
          <w:tcPr>
            <w:tcW w:w="1000" w:type="dxa"/>
          </w:tcPr>
          <w:p/>
        </w:tc>
        <w:tc>
          <w:tcPr>
            <w:tcW w:w="1000" w:type="dxa"/>
          </w:tcPr>
          <w:p>
            <w:pPr>
              <w:jc w:val="center"/>
            </w:pPr>
            <w:r>
              <w:rPr/>
              <w:t xml:space="preserve">36 206 Kč</w:t>
            </w:r>
          </w:p>
        </w:tc>
        <w:tc>
          <w:tcPr>
            <w:tcW w:w="1000" w:type="dxa"/>
          </w:tcPr>
          <w:p>
            <w:pPr>
              <w:jc w:val="center"/>
            </w:pPr>
            <w:r>
              <w:rPr/>
              <w:t xml:space="preserve">42 797 Kč</w:t>
            </w:r>
          </w:p>
        </w:tc>
        <w:tc>
          <w:tcPr>
            <w:tcW w:w="1000" w:type="dxa"/>
          </w:tcPr>
          <w:p>
            <w:pPr>
              <w:jc w:val="center"/>
            </w:pPr>
            <w:r>
              <w:rPr/>
              <w:t xml:space="preserve">51 111 Kč</w:t>
            </w:r>
          </w:p>
        </w:tc>
      </w:tr>
      <w:tr>
        <w:trPr/>
        <w:tc>
          <w:tcPr>
            <w:tcW w:w="2000" w:type="dxa"/>
          </w:tcPr>
          <w:p>
            <w:pPr/>
            <w:r>
              <w:rPr/>
              <w:t xml:space="preserve">Pardubický kraj</w:t>
            </w:r>
          </w:p>
        </w:tc>
        <w:tc>
          <w:tcPr>
            <w:tcW w:w="1000" w:type="dxa"/>
          </w:tcPr>
          <w:p/>
        </w:tc>
        <w:tc>
          <w:tcPr>
            <w:tcW w:w="1000" w:type="dxa"/>
          </w:tcPr>
          <w:p/>
        </w:tc>
        <w:tc>
          <w:tcPr>
            <w:tcW w:w="1000" w:type="dxa"/>
          </w:tcPr>
          <w:p/>
        </w:tc>
        <w:tc>
          <w:tcPr>
            <w:tcW w:w="1000" w:type="dxa"/>
          </w:tcPr>
          <w:p>
            <w:pPr>
              <w:jc w:val="center"/>
            </w:pPr>
            <w:r>
              <w:rPr/>
              <w:t xml:space="preserve">36 196 Kč</w:t>
            </w:r>
          </w:p>
        </w:tc>
        <w:tc>
          <w:tcPr>
            <w:tcW w:w="1000" w:type="dxa"/>
          </w:tcPr>
          <w:p>
            <w:pPr>
              <w:jc w:val="center"/>
            </w:pPr>
            <w:r>
              <w:rPr/>
              <w:t xml:space="preserve">42 203 Kč</w:t>
            </w:r>
          </w:p>
        </w:tc>
        <w:tc>
          <w:tcPr>
            <w:tcW w:w="1000" w:type="dxa"/>
          </w:tcPr>
          <w:p>
            <w:pPr>
              <w:jc w:val="center"/>
            </w:pPr>
            <w:r>
              <w:rPr/>
              <w:t xml:space="preserve">50 502 Kč</w:t>
            </w:r>
          </w:p>
        </w:tc>
      </w:tr>
      <w:tr>
        <w:trPr/>
        <w:tc>
          <w:tcPr>
            <w:tcW w:w="2000" w:type="dxa"/>
          </w:tcPr>
          <w:p>
            <w:pPr/>
            <w:r>
              <w:rPr/>
              <w:t xml:space="preserve">Kraj Vysočina</w:t>
            </w:r>
          </w:p>
        </w:tc>
        <w:tc>
          <w:tcPr>
            <w:tcW w:w="1000" w:type="dxa"/>
          </w:tcPr>
          <w:p/>
        </w:tc>
        <w:tc>
          <w:tcPr>
            <w:tcW w:w="1000" w:type="dxa"/>
          </w:tcPr>
          <w:p/>
        </w:tc>
        <w:tc>
          <w:tcPr>
            <w:tcW w:w="1000" w:type="dxa"/>
          </w:tcPr>
          <w:p/>
        </w:tc>
        <w:tc>
          <w:tcPr>
            <w:tcW w:w="1000" w:type="dxa"/>
          </w:tcPr>
          <w:p>
            <w:pPr>
              <w:jc w:val="center"/>
            </w:pPr>
            <w:r>
              <w:rPr/>
              <w:t xml:space="preserve">36 599 Kč</w:t>
            </w:r>
          </w:p>
        </w:tc>
        <w:tc>
          <w:tcPr>
            <w:tcW w:w="1000" w:type="dxa"/>
          </w:tcPr>
          <w:p>
            <w:pPr>
              <w:jc w:val="center"/>
            </w:pPr>
            <w:r>
              <w:rPr/>
              <w:t xml:space="preserve">44 971 Kč</w:t>
            </w:r>
          </w:p>
        </w:tc>
        <w:tc>
          <w:tcPr>
            <w:tcW w:w="1000" w:type="dxa"/>
          </w:tcPr>
          <w:p>
            <w:pPr>
              <w:jc w:val="center"/>
            </w:pPr>
            <w:r>
              <w:rPr/>
              <w:t xml:space="preserve">58 170 Kč</w:t>
            </w:r>
          </w:p>
        </w:tc>
      </w:tr>
      <w:tr>
        <w:trPr/>
        <w:tc>
          <w:tcPr>
            <w:tcW w:w="2000" w:type="dxa"/>
          </w:tcPr>
          <w:p>
            <w:pPr/>
            <w:r>
              <w:rPr/>
              <w:t xml:space="preserve">Jihomoravský kraj</w:t>
            </w:r>
          </w:p>
        </w:tc>
        <w:tc>
          <w:tcPr>
            <w:tcW w:w="1000" w:type="dxa"/>
          </w:tcPr>
          <w:p/>
        </w:tc>
        <w:tc>
          <w:tcPr>
            <w:tcW w:w="1000" w:type="dxa"/>
          </w:tcPr>
          <w:p/>
        </w:tc>
        <w:tc>
          <w:tcPr>
            <w:tcW w:w="1000" w:type="dxa"/>
          </w:tcPr>
          <w:p/>
        </w:tc>
        <w:tc>
          <w:tcPr>
            <w:tcW w:w="1000" w:type="dxa"/>
          </w:tcPr>
          <w:p>
            <w:pPr>
              <w:jc w:val="center"/>
            </w:pPr>
            <w:r>
              <w:rPr/>
              <w:t xml:space="preserve">36 116 Kč</w:t>
            </w:r>
          </w:p>
        </w:tc>
        <w:tc>
          <w:tcPr>
            <w:tcW w:w="1000" w:type="dxa"/>
          </w:tcPr>
          <w:p>
            <w:pPr>
              <w:jc w:val="center"/>
            </w:pPr>
            <w:r>
              <w:rPr/>
              <w:t xml:space="preserve">42 662 Kč</w:t>
            </w:r>
          </w:p>
        </w:tc>
        <w:tc>
          <w:tcPr>
            <w:tcW w:w="1000" w:type="dxa"/>
          </w:tcPr>
          <w:p>
            <w:pPr>
              <w:jc w:val="center"/>
            </w:pPr>
            <w:r>
              <w:rPr/>
              <w:t xml:space="preserve">51 487 Kč</w:t>
            </w:r>
          </w:p>
        </w:tc>
      </w:tr>
      <w:tr>
        <w:trPr/>
        <w:tc>
          <w:tcPr>
            <w:tcW w:w="2000" w:type="dxa"/>
          </w:tcPr>
          <w:p>
            <w:pPr/>
            <w:r>
              <w:rPr/>
              <w:t xml:space="preserve">Olomoucký kraj</w:t>
            </w:r>
          </w:p>
        </w:tc>
        <w:tc>
          <w:tcPr>
            <w:tcW w:w="1000" w:type="dxa"/>
          </w:tcPr>
          <w:p/>
        </w:tc>
        <w:tc>
          <w:tcPr>
            <w:tcW w:w="1000" w:type="dxa"/>
          </w:tcPr>
          <w:p/>
        </w:tc>
        <w:tc>
          <w:tcPr>
            <w:tcW w:w="1000" w:type="dxa"/>
          </w:tcPr>
          <w:p/>
        </w:tc>
        <w:tc>
          <w:tcPr>
            <w:tcW w:w="1000" w:type="dxa"/>
          </w:tcPr>
          <w:p>
            <w:pPr>
              <w:jc w:val="center"/>
            </w:pPr>
            <w:r>
              <w:rPr/>
              <w:t xml:space="preserve">35 450 Kč</w:t>
            </w:r>
          </w:p>
        </w:tc>
        <w:tc>
          <w:tcPr>
            <w:tcW w:w="1000" w:type="dxa"/>
          </w:tcPr>
          <w:p>
            <w:pPr>
              <w:jc w:val="center"/>
            </w:pPr>
            <w:r>
              <w:rPr/>
              <w:t xml:space="preserve">42 090 Kč</w:t>
            </w:r>
          </w:p>
        </w:tc>
        <w:tc>
          <w:tcPr>
            <w:tcW w:w="1000" w:type="dxa"/>
          </w:tcPr>
          <w:p>
            <w:pPr>
              <w:jc w:val="center"/>
            </w:pPr>
            <w:r>
              <w:rPr/>
              <w:t xml:space="preserve">50 508 Kč</w:t>
            </w:r>
          </w:p>
        </w:tc>
      </w:tr>
      <w:tr>
        <w:trPr/>
        <w:tc>
          <w:tcPr>
            <w:tcW w:w="2000" w:type="dxa"/>
          </w:tcPr>
          <w:p>
            <w:pPr/>
            <w:r>
              <w:rPr/>
              <w:t xml:space="preserve">Zlínský kraj</w:t>
            </w:r>
          </w:p>
        </w:tc>
        <w:tc>
          <w:tcPr>
            <w:tcW w:w="1000" w:type="dxa"/>
          </w:tcPr>
          <w:p/>
        </w:tc>
        <w:tc>
          <w:tcPr>
            <w:tcW w:w="1000" w:type="dxa"/>
          </w:tcPr>
          <w:p/>
        </w:tc>
        <w:tc>
          <w:tcPr>
            <w:tcW w:w="1000" w:type="dxa"/>
          </w:tcPr>
          <w:p/>
        </w:tc>
        <w:tc>
          <w:tcPr>
            <w:tcW w:w="1000" w:type="dxa"/>
          </w:tcPr>
          <w:p>
            <w:pPr>
              <w:jc w:val="center"/>
            </w:pPr>
            <w:r>
              <w:rPr/>
              <w:t xml:space="preserve">37 371 Kč</w:t>
            </w:r>
          </w:p>
        </w:tc>
        <w:tc>
          <w:tcPr>
            <w:tcW w:w="1000" w:type="dxa"/>
          </w:tcPr>
          <w:p>
            <w:pPr>
              <w:jc w:val="center"/>
            </w:pPr>
            <w:r>
              <w:rPr/>
              <w:t xml:space="preserve">44 645 Kč</w:t>
            </w:r>
          </w:p>
        </w:tc>
        <w:tc>
          <w:tcPr>
            <w:tcW w:w="1000" w:type="dxa"/>
          </w:tcPr>
          <w:p>
            <w:pPr>
              <w:jc w:val="center"/>
            </w:pPr>
            <w:r>
              <w:rPr/>
              <w:t xml:space="preserve">54 112 Kč</w:t>
            </w:r>
          </w:p>
        </w:tc>
      </w:tr>
      <w:tr>
        <w:trPr/>
        <w:tc>
          <w:tcPr>
            <w:tcW w:w="2000" w:type="dxa"/>
          </w:tcPr>
          <w:p>
            <w:pPr/>
            <w:r>
              <w:rPr/>
              <w:t xml:space="preserve">Moravskoslezský kraj</w:t>
            </w:r>
          </w:p>
        </w:tc>
        <w:tc>
          <w:tcPr>
            <w:tcW w:w="1000" w:type="dxa"/>
          </w:tcPr>
          <w:p/>
        </w:tc>
        <w:tc>
          <w:tcPr>
            <w:tcW w:w="1000" w:type="dxa"/>
          </w:tcPr>
          <w:p/>
        </w:tc>
        <w:tc>
          <w:tcPr>
            <w:tcW w:w="1000" w:type="dxa"/>
          </w:tcPr>
          <w:p/>
        </w:tc>
        <w:tc>
          <w:tcPr>
            <w:tcW w:w="1000" w:type="dxa"/>
          </w:tcPr>
          <w:p>
            <w:pPr>
              <w:jc w:val="center"/>
            </w:pPr>
            <w:r>
              <w:rPr/>
              <w:t xml:space="preserve">36 613 Kč</w:t>
            </w:r>
          </w:p>
        </w:tc>
        <w:tc>
          <w:tcPr>
            <w:tcW w:w="1000" w:type="dxa"/>
          </w:tcPr>
          <w:p>
            <w:pPr>
              <w:jc w:val="center"/>
            </w:pPr>
            <w:r>
              <w:rPr/>
              <w:t xml:space="preserve">44 316 Kč</w:t>
            </w:r>
          </w:p>
        </w:tc>
        <w:tc>
          <w:tcPr>
            <w:tcW w:w="1000" w:type="dxa"/>
          </w:tcPr>
          <w:p>
            <w:pPr>
              <w:jc w:val="center"/>
            </w:pPr>
            <w:r>
              <w:rPr/>
              <w:t xml:space="preserve">53 682 Kč</w:t>
            </w:r>
          </w:p>
        </w:tc>
      </w:tr>
    </w:tbl>
    <w:p/>
    <w:p>
      <w:pPr>
        <w:pStyle w:val="Heading3"/>
      </w:pPr>
      <w:bookmarkStart w:id="6" w:name="_Toc6"/>
      <w:r>
        <w:t>Hrubé měsíční mzdy v roce 2020 celkem</w:t>
      </w:r>
      <w:bookmarkEnd w:id="6"/>
    </w:p>
    <w:tbl>
      <w:tblGrid>
        <w:gridCol w:w="1000" w:type="dxa"/>
        <w:gridCol w:w="2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gridSpan w:val="2"/>
          </w:tcPr>
          <w:p/>
        </w:tc>
        <w:tc>
          <w:tcPr>
            <w:tcW w:w="6000" w:type="dxa"/>
            <w:gridSpan w:val="2"/>
          </w:tcPr>
          <w:p>
            <w:pPr>
              <w:jc w:val="center"/>
            </w:pPr>
            <w:r>
              <w:rPr>
                <w:b w:val="1"/>
                <w:bCs w:val="1"/>
              </w:rPr>
              <w:t xml:space="preserve">Medián za ČR celkem</w:t>
            </w:r>
          </w:p>
        </w:tc>
      </w:tr>
      <w:tr>
        <w:trPr/>
        <w:tc>
          <w:tcPr>
            <w:tcW w:w="1000" w:type="dxa"/>
          </w:tcPr>
          <w:p>
            <w:pPr/>
            <w:r>
              <w:rPr>
                <w:b w:val="1"/>
                <w:bCs w:val="1"/>
              </w:rPr>
              <w:t xml:space="preserve">CZ-ISCO</w:t>
            </w:r>
          </w:p>
        </w:tc>
        <w:tc>
          <w:tcPr>
            <w:tcW w:w="2000" w:type="dxa"/>
          </w:tcPr>
          <w:p/>
        </w:tc>
        <w:tc>
          <w:tcPr>
            <w:tcW w:w="3000" w:type="dxa"/>
          </w:tcPr>
          <w:p>
            <w:pPr>
              <w:jc w:val="center"/>
            </w:pPr>
            <w:r>
              <w:rPr>
                <w:b w:val="1"/>
                <w:bCs w:val="1"/>
              </w:rPr>
              <w:t xml:space="preserve">Mzdová sféra</w:t>
            </w:r>
          </w:p>
        </w:tc>
        <w:tc>
          <w:tcPr>
            <w:tcW w:w="3000" w:type="dxa"/>
          </w:tcPr>
          <w:p>
            <w:pPr>
              <w:jc w:val="center"/>
            </w:pPr>
            <w:r>
              <w:rPr>
                <w:b w:val="1"/>
                <w:bCs w:val="1"/>
              </w:rPr>
              <w:t xml:space="preserve">Platová sféra</w:t>
            </w:r>
          </w:p>
        </w:tc>
      </w:tr>
      <w:tr>
        <w:trPr/>
        <w:tc>
          <w:tcPr>
            <w:tcW w:w="1000" w:type="dxa"/>
          </w:tcPr>
          <w:p>
            <w:pPr>
              <w:jc w:val="center"/>
            </w:pPr>
            <w:r>
              <w:rPr/>
              <w:t xml:space="preserve">2320</w:t>
            </w:r>
          </w:p>
        </w:tc>
        <w:tc>
          <w:tcPr>
            <w:tcW w:w="2000" w:type="dxa"/>
          </w:tcPr>
          <w:p>
            <w:pPr/>
            <w:r>
              <w:rPr/>
              <w:t xml:space="preserve">Učitelé odborných předmětů, praktického vyučování, odborného výcviku (kromě pro žáky se speciálními vzdělávacími potřebami) a lektoři dalšího vzdělávání</w:t>
            </w:r>
          </w:p>
        </w:tc>
        <w:tc>
          <w:tcPr>
            <w:tcW w:w="1000" w:type="dxa"/>
          </w:tcPr>
          <w:p>
            <w:pPr>
              <w:jc w:val="center"/>
            </w:pPr>
            <w:r>
              <w:rPr/>
              <w:t xml:space="preserve">43 370 Kč</w:t>
            </w:r>
          </w:p>
        </w:tc>
        <w:tc>
          <w:tcPr>
            <w:tcW w:w="1000" w:type="dxa"/>
          </w:tcPr>
          <w:p>
            <w:pPr>
              <w:jc w:val="center"/>
            </w:pPr>
            <w:r>
              <w:rPr/>
              <w:t xml:space="preserve">38 910 Kč</w:t>
            </w:r>
          </w:p>
        </w:tc>
      </w:tr>
      <w:tr>
        <w:trPr/>
        <w:tc>
          <w:tcPr>
            <w:tcW w:w="1000" w:type="dxa"/>
          </w:tcPr>
          <w:p>
            <w:pPr>
              <w:jc w:val="center"/>
            </w:pPr>
            <w:r>
              <w:rPr/>
              <w:t xml:space="preserve">23203</w:t>
            </w:r>
          </w:p>
        </w:tc>
        <w:tc>
          <w:tcPr>
            <w:tcW w:w="2000" w:type="dxa"/>
          </w:tcPr>
          <w:p>
            <w:pPr/>
            <w:r>
              <w:rPr/>
              <w:t xml:space="preserve">Učitelé odborného výcviku (kromě pro žáky se speciálními vzdělávacími potřebami)</w:t>
            </w:r>
          </w:p>
        </w:tc>
        <w:tc>
          <w:tcPr>
            <w:tcW w:w="1000" w:type="dxa"/>
          </w:tcPr>
          <w:p>
            <w:pPr>
              <w:jc w:val="center"/>
            </w:pPr>
            <w:r>
              <w:rPr/>
              <w:t xml:space="preserve">39 524 Kč</w:t>
            </w:r>
          </w:p>
        </w:tc>
        <w:tc>
          <w:tcPr>
            <w:tcW w:w="1000" w:type="dxa"/>
          </w:tcPr>
          <w:p>
            <w:pPr>
              <w:jc w:val="center"/>
            </w:pPr>
            <w:r>
              <w:rPr/>
              <w:t xml:space="preserve">-</w:t>
            </w:r>
          </w:p>
        </w:tc>
      </w:tr>
    </w:tbl>
    <w:p/>
    <w:p>
      <w:pPr>
        <w:pStyle w:val="Heading2"/>
      </w:pPr>
      <w:bookmarkStart w:id="7" w:name="_Toc7"/>
      <w:r>
        <w:t>Příklady činností</w:t>
      </w:r>
      <w:bookmarkEnd w:id="7"/>
    </w:p>
    <w:tbl>
      <w:tblGrid>
        <w:gridCol w:w="7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7000" w:type="dxa"/>
          </w:tcPr>
          <w:p>
            <w:pPr/>
            <w:r>
              <w:rPr>
                <w:b w:val="1"/>
                <w:bCs w:val="1"/>
              </w:rPr>
              <w:t xml:space="preserve">Příklady činností ze veřejného sektoru</w:t>
            </w:r>
          </w:p>
        </w:tc>
        <w:tc>
          <w:tcPr>
            <w:tcW w:w="2000" w:type="dxa"/>
          </w:tcPr>
          <w:p>
            <w:pPr>
              <w:jc w:val="center"/>
            </w:pPr>
            <w:r>
              <w:rPr>
                <w:b w:val="1"/>
                <w:bCs w:val="1"/>
              </w:rPr>
              <w:t xml:space="preserve">Platová třída</w:t>
            </w:r>
          </w:p>
        </w:tc>
      </w:tr>
      <w:tr>
        <w:trPr/>
        <w:tc>
          <w:tcPr>
            <w:tcW w:w="7000" w:type="dxa"/>
          </w:tcPr>
          <w:p>
            <w:pPr/>
            <w:r>
              <w:rPr/>
              <w:t xml:space="preserve">Stanovování koncepce rozvoje oboru středního vzdělání s maturitní zkouškou nebo oboru vzdělání ukončeného absolutoriem nebo rámcových vzdělávacích programů.</w:t>
            </w:r>
          </w:p>
        </w:tc>
        <w:tc>
          <w:tcPr>
            <w:tcW w:w="2000" w:type="dxa"/>
          </w:tcPr>
          <w:p>
            <w:pPr>
              <w:jc w:val="center"/>
            </w:pPr>
            <w:r>
              <w:rPr/>
              <w:t xml:space="preserve">13</w:t>
            </w:r>
          </w:p>
        </w:tc>
      </w:tr>
      <w:tr>
        <w:trPr/>
        <w:tc>
          <w:tcPr>
            <w:tcW w:w="7000" w:type="dxa"/>
          </w:tcPr>
          <w:p>
            <w:pPr/>
            <w:r>
              <w:rPr/>
              <w:t xml:space="preserve">Specializovaná metodologická činnost v oblasti pedagogiky a psychologie, k jejímuž výkonu je nezbytné získání specializace stanovené zvláštním právním předpisem (studium pro vedoucí pedagogické pracovníky a pro výchovné poradce). Dále zřizovatel do této třídy zařadí vedoucího zaměstnance, který tyto zaměstnance řídí (§ 123 odst. 3 zákoníku práce).</w:t>
            </w:r>
          </w:p>
        </w:tc>
        <w:tc>
          <w:tcPr>
            <w:tcW w:w="2000" w:type="dxa"/>
          </w:tcPr>
          <w:p>
            <w:pPr>
              <w:jc w:val="center"/>
            </w:pPr>
            <w:r>
              <w:rPr/>
              <w:t xml:space="preserve">13</w:t>
            </w:r>
          </w:p>
        </w:tc>
      </w:tr>
      <w:tr>
        <w:trPr/>
        <w:tc>
          <w:tcPr>
            <w:tcW w:w="7000" w:type="dxa"/>
          </w:tcPr>
          <w:p>
            <w:pPr/>
            <w:r>
              <w:rPr/>
              <w:t xml:space="preserve">Tvorba a koordinace mezinárodních projektů zaměřených na vzdělávání a výchovu a projektů dalšího vzdělávání přesahujících rámec škol.</w:t>
            </w:r>
          </w:p>
        </w:tc>
        <w:tc>
          <w:tcPr>
            <w:tcW w:w="2000" w:type="dxa"/>
          </w:tcPr>
          <w:p>
            <w:pPr>
              <w:jc w:val="center"/>
            </w:pPr>
            <w:r>
              <w:rPr/>
              <w:t xml:space="preserve">13</w:t>
            </w:r>
          </w:p>
        </w:tc>
      </w:tr>
      <w:tr>
        <w:trPr/>
        <w:tc>
          <w:tcPr>
            <w:tcW w:w="7000" w:type="dxa"/>
          </w:tcPr>
          <w:p>
            <w:pPr/>
            <w:r>
              <w:rPr/>
              <w:t xml:space="preserve">Tvorba koncepcí rozvoje oboru středního vzdělání s výučním listem nebo skupiny příbuzných oborů.</w:t>
            </w:r>
          </w:p>
        </w:tc>
        <w:tc>
          <w:tcPr>
            <w:tcW w:w="2000" w:type="dxa"/>
          </w:tcPr>
          <w:p>
            <w:pPr>
              <w:jc w:val="center"/>
            </w:pPr>
            <w:r>
              <w:rPr/>
              <w:t xml:space="preserve">12</w:t>
            </w:r>
          </w:p>
        </w:tc>
      </w:tr>
      <w:tr>
        <w:trPr/>
        <w:tc>
          <w:tcPr>
            <w:tcW w:w="7000" w:type="dxa"/>
          </w:tcPr>
          <w:p>
            <w:pPr/>
            <w:r>
              <w:rPr/>
              <w:t xml:space="preserve">Komplexní koordinace vzdělávání v odborném výcviku střední školy se znalostmi a dovednostmi z jiných oborů vzdělání a s teoretickým vyučováním.</w:t>
            </w:r>
          </w:p>
        </w:tc>
        <w:tc>
          <w:tcPr>
            <w:tcW w:w="2000" w:type="dxa"/>
          </w:tcPr>
          <w:p>
            <w:pPr>
              <w:jc w:val="center"/>
            </w:pPr>
            <w:r>
              <w:rPr/>
              <w:t xml:space="preserve">11</w:t>
            </w:r>
          </w:p>
        </w:tc>
      </w:tr>
      <w:tr>
        <w:trPr/>
        <w:tc>
          <w:tcPr>
            <w:tcW w:w="7000" w:type="dxa"/>
          </w:tcPr>
          <w:p>
            <w:pPr/>
            <w:r>
              <w:rPr/>
              <w:t xml:space="preserve">Vzdělávací a výchovná činnost v odborném výcviku v náročných oborech středního vzdělání s výučním listem.</w:t>
            </w:r>
          </w:p>
        </w:tc>
        <w:tc>
          <w:tcPr>
            <w:tcW w:w="2000" w:type="dxa"/>
          </w:tcPr>
          <w:p>
            <w:pPr>
              <w:jc w:val="center"/>
            </w:pPr>
            <w:r>
              <w:rPr/>
              <w:t xml:space="preserve">10</w:t>
            </w:r>
          </w:p>
        </w:tc>
      </w:tr>
      <w:tr>
        <w:trPr/>
        <w:tc>
          <w:tcPr>
            <w:tcW w:w="7000" w:type="dxa"/>
          </w:tcPr>
          <w:p>
            <w:pPr/>
            <w:r>
              <w:rPr/>
              <w:t xml:space="preserve">Vzdělávací a výchovná činnost v odborném výcviku při přípravě žáků v oborech středního vzdělání s výučním listem.</w:t>
            </w:r>
          </w:p>
        </w:tc>
        <w:tc>
          <w:tcPr>
            <w:tcW w:w="2000" w:type="dxa"/>
          </w:tcPr>
          <w:p>
            <w:pPr>
              <w:jc w:val="center"/>
            </w:pPr>
            <w:r>
              <w:rPr/>
              <w:t xml:space="preserve">9</w:t>
            </w:r>
          </w:p>
        </w:tc>
      </w:tr>
    </w:tbl>
    <w:p/>
    <w:p>
      <w:pPr>
        <w:pStyle w:val="Heading2"/>
      </w:pPr>
      <w:bookmarkStart w:id="8" w:name="_Toc8"/>
      <w:r>
        <w:t>Pracovní podmínky</w:t>
      </w:r>
      <w:bookmarkEnd w:id="8"/>
    </w:p>
    <w:tbl>
      <w:tblGrid>
        <w:gridCol w:w="5000" w:type="dxa"/>
        <w:gridCol w:w="1000" w:type="dxa"/>
        <w:gridCol w:w="1000" w:type="dxa"/>
        <w:gridCol w:w="1000" w:type="dxa"/>
        <w:gridCol w:w="1000" w:type="dxa"/>
      </w:tblGrid>
      <w:tblPr>
        <w:jc w:val="start"/>
        <w:tblW w:w="0" w:type="auto"/>
        <w:tblCellSpacing w:w="50" w:type="dxa"/>
        <w:tblLayout w:type="autofit"/>
        <w:bidiVisual w:val="0"/>
        <w:tblCellMar>
          <w:top w:w="80" w:type="dxa"/>
          <w:left w:w="80" w:type="dxa"/>
          <w:right w:w="80" w:type="dxa"/>
          <w:bottom w:w="80" w:type="dxa"/>
        </w:tblCellMar>
      </w:tblPr>
      <w:tr>
        <w:trPr/>
        <w:tc>
          <w:tcPr>
            <w:tcW w:w="5000" w:type="dxa"/>
          </w:tcPr>
          <w:p>
            <w:pPr>
              <w:jc w:val="center"/>
            </w:pPr>
            <w:r>
              <w:rPr>
                <w:b w:val="1"/>
                <w:bCs w:val="1"/>
              </w:rPr>
              <w:t xml:space="preserve">Název</w:t>
            </w:r>
          </w:p>
        </w:tc>
        <w:tc>
          <w:tcPr>
            <w:tcW w:w="1000" w:type="dxa"/>
          </w:tcPr>
          <w:p>
            <w:pPr>
              <w:jc w:val="center"/>
            </w:pPr>
            <w:r>
              <w:rPr>
                <w:b w:val="1"/>
                <w:bCs w:val="1"/>
              </w:rPr>
              <w:t xml:space="preserve">1</w:t>
            </w:r>
          </w:p>
        </w:tc>
        <w:tc>
          <w:tcPr>
            <w:tcW w:w="1000" w:type="dxa"/>
          </w:tcPr>
          <w:p>
            <w:pPr>
              <w:jc w:val="center"/>
            </w:pPr>
            <w:r>
              <w:rPr>
                <w:b w:val="1"/>
                <w:bCs w:val="1"/>
              </w:rPr>
              <w:t xml:space="preserve">2</w:t>
            </w:r>
          </w:p>
        </w:tc>
        <w:tc>
          <w:tcPr>
            <w:tcW w:w="1000" w:type="dxa"/>
          </w:tcPr>
          <w:p>
            <w:pPr>
              <w:jc w:val="center"/>
            </w:pPr>
            <w:r>
              <w:rPr>
                <w:b w:val="1"/>
                <w:bCs w:val="1"/>
              </w:rPr>
              <w:t xml:space="preserve">3</w:t>
            </w:r>
          </w:p>
        </w:tc>
        <w:tc>
          <w:tcPr>
            <w:tcW w:w="1000" w:type="dxa"/>
          </w:tcPr>
          <w:p>
            <w:pPr>
              <w:jc w:val="center"/>
            </w:pPr>
            <w:r>
              <w:rPr>
                <w:b w:val="1"/>
                <w:bCs w:val="1"/>
              </w:rPr>
              <w:t xml:space="preserve">4</w:t>
            </w:r>
          </w:p>
        </w:tc>
      </w:tr>
      <w:tr>
        <w:trPr/>
        <w:tc>
          <w:tcPr>
            <w:tcW w:w="5000" w:type="dxa"/>
          </w:tcPr>
          <w:p>
            <w:pPr/>
            <w:r>
              <w:rPr/>
              <w:t xml:space="preserve">Duševní zátěž</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teplem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chladem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hlukem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vibracemi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prachem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chemickými látkami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invazivními alergeny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biologickými činiteli způsobujícími onemocnění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ionizujícím zářením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neionizujícím zářením a elektromagnetickým polem včetně laserů</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Zraková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Celková fyzická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trupu a páteře s převahou statické práce (manipulace s břemeny)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 zátěž malých svalových skupin</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jemné motoriky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omezeném nebo uzavřeném prostoru</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nevhodných pracovních polohách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Práce ve výškách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úrazu pracovníka</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obecného ohrožení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Pracovní doba, směnnost</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bl>
    <w:p/>
    <w:p>
      <w:pPr/>
      <w:r>
        <w:rPr>
          <w:sz w:val="16"/>
          <w:szCs w:val="16"/>
          <w:i w:val="1"/>
          <w:iCs w:val="1"/>
        </w:rPr>
        <w:t xml:space="preserve">Legenda:</w:t>
      </w:r>
    </w:p>
    <w:p>
      <w:pPr>
        <w:numPr>
          <w:ilvl w:val="0"/>
          <w:numId w:val="5"/>
        </w:numPr>
      </w:pPr>
      <w:r>
        <w:rPr>
          <w:sz w:val="16"/>
          <w:szCs w:val="16"/>
          <w:i w:val="1"/>
          <w:iCs w:val="1"/>
        </w:rPr>
        <w:t xml:space="preserve">1. Stupeň zátěže (minimální zdravotní riziko) - Faktor se při výkonu práce nevyskytuje nebo je zátěž faktorem minimální, vliv faktoru je ze zdravotního hlediska nevýznamný.</w:t>
      </w:r>
    </w:p>
    <w:p>
      <w:pPr>
        <w:numPr>
          <w:ilvl w:val="0"/>
          <w:numId w:val="5"/>
        </w:numPr>
      </w:pPr>
      <w:r>
        <w:rPr>
          <w:sz w:val="16"/>
          <w:szCs w:val="16"/>
          <w:i w:val="1"/>
          <w:iCs w:val="1"/>
        </w:rPr>
        <w:t xml:space="preserve">2. Stupeň zátěže (únosná míra zdravotního rizika) - Ze zdravotního hlediska je míra zátěže faktorem únosná, nepřekračuje limity stanovené předpisy, vliv faktoru je akceptovatelný pro zdravého člověka.</w:t>
      </w:r>
    </w:p>
    <w:p>
      <w:pPr>
        <w:numPr>
          <w:ilvl w:val="0"/>
          <w:numId w:val="5"/>
        </w:numPr>
      </w:pPr>
      <w:r>
        <w:rPr>
          <w:sz w:val="16"/>
          <w:szCs w:val="16"/>
          <w:i w:val="1"/>
          <w:iCs w:val="1"/>
        </w:rPr>
        <w:t xml:space="preserve">3. Stupeň zátěže (významná míra zdravotního rizika) - Úroveň zátěže překračuje stanovené limitní hodnoty expozice (zátěže), na pracovištích je nutná realizace náhradních technických a organizačních opatření, nelze vyloučit negativní vliv na zdraví pracovníků.</w:t>
      </w:r>
    </w:p>
    <w:p>
      <w:pPr>
        <w:numPr>
          <w:ilvl w:val="0"/>
          <w:numId w:val="5"/>
        </w:numPr>
      </w:pPr>
      <w:r>
        <w:rPr>
          <w:sz w:val="16"/>
          <w:szCs w:val="16"/>
          <w:i w:val="1"/>
          <w:iCs w:val="1"/>
        </w:rPr>
        <w:t xml:space="preserve">4. Stupeň zátěže (vysoká míra zdravotního rizika) - Úroveň zátěže vysoce překračuje stanovené limitní hodnoty expozice, na pracovištích musí být dodržován soubor preventivních opatření, častěji dochází k poškození zdraví.</w:t>
      </w:r>
    </w:p>
    <w:p/>
    <w:p/>
    <w:p>
      <w:pPr>
        <w:pStyle w:val="Heading2"/>
      </w:pPr>
      <w:bookmarkStart w:id="9" w:name="_Toc9"/>
      <w:r>
        <w:t>Kvalifikace k výkonu povolání</w:t>
      </w:r>
      <w:bookmarkEnd w:id="9"/>
    </w:p>
    <w:p>
      <w:pPr>
        <w:pStyle w:val="Heading3"/>
      </w:pPr>
      <w:bookmarkStart w:id="10" w:name="_Toc10"/>
      <w:r>
        <w:t>Školní vzdělání</w:t>
      </w:r>
      <w:bookmarkEnd w:id="10"/>
    </w:p>
    <w:p/>
    <w:p>
      <w:pPr>
        <w:pStyle w:val="Heading4"/>
      </w:pPr>
      <w:bookmarkStart w:id="11" w:name="_Toc11"/>
      <w:r>
        <w:t>Nejvhodnější školní přípravu poskytují obory:</w:t>
      </w:r>
      <w:bookmarkEnd w:id="11"/>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Vyšší odborné vzdělání ve skupině oborů elektrotechnika, telekomunikační a výpočetní technika</w:t>
            </w:r>
          </w:p>
        </w:tc>
        <w:tc>
          <w:tcPr>
            <w:tcW w:w="2000" w:type="dxa"/>
          </w:tcPr>
          <w:p>
            <w:pPr>
              <w:jc w:val="center"/>
            </w:pPr>
            <w:r>
              <w:rPr/>
              <w:t xml:space="preserve">26xxN</w:t>
            </w:r>
          </w:p>
        </w:tc>
      </w:tr>
      <w:tr>
        <w:trPr/>
        <w:tc>
          <w:tcPr>
            <w:tcW w:w="2000" w:type="dxa"/>
          </w:tcPr>
          <w:p>
            <w:pPr>
              <w:jc w:val="center"/>
            </w:pPr>
            <w:r>
              <w:rPr/>
              <w:t xml:space="preserve">KKOV</w:t>
            </w:r>
          </w:p>
        </w:tc>
        <w:tc>
          <w:tcPr>
            <w:tcW w:w="5000" w:type="dxa"/>
          </w:tcPr>
          <w:p>
            <w:pPr/>
            <w:r>
              <w:rPr/>
              <w:t xml:space="preserve">Bakalářský studijní program ve skupině oborů elektrotechnika, telekomunikační a výpočetní technika</w:t>
            </w:r>
          </w:p>
        </w:tc>
        <w:tc>
          <w:tcPr>
            <w:tcW w:w="2000" w:type="dxa"/>
          </w:tcPr>
          <w:p>
            <w:pPr>
              <w:jc w:val="center"/>
            </w:pPr>
            <w:r>
              <w:rPr/>
              <w:t xml:space="preserve">26xxR</w:t>
            </w:r>
          </w:p>
        </w:tc>
      </w:tr>
      <w:tr>
        <w:trPr/>
        <w:tc>
          <w:tcPr>
            <w:tcW w:w="2000" w:type="dxa"/>
          </w:tcPr>
          <w:p>
            <w:pPr>
              <w:jc w:val="center"/>
            </w:pPr>
            <w:r>
              <w:rPr/>
              <w:t xml:space="preserve">RVP</w:t>
            </w:r>
          </w:p>
        </w:tc>
        <w:tc>
          <w:tcPr>
            <w:tcW w:w="5000" w:type="dxa"/>
          </w:tcPr>
          <w:p>
            <w:pPr/>
            <w:r>
              <w:rPr/>
              <w:t xml:space="preserve">Elektrotechnika, telekomunikační a výpočetní technika</w:t>
            </w:r>
          </w:p>
        </w:tc>
        <w:tc>
          <w:tcPr>
            <w:tcW w:w="2000" w:type="dxa"/>
          </w:tcPr>
          <w:p>
            <w:pPr>
              <w:jc w:val="center"/>
            </w:pPr>
            <w:r>
              <w:rPr/>
              <w:t xml:space="preserve">26-xx-H/xx</w:t>
            </w:r>
          </w:p>
        </w:tc>
      </w:tr>
    </w:tbl>
    <w:p/>
    <w:p>
      <w:pPr>
        <w:pStyle w:val="Heading4"/>
      </w:pPr>
      <w:bookmarkStart w:id="12" w:name="_Toc12"/>
      <w:r>
        <w:t>Vhodnou školní přípravu poskytují také obory:</w:t>
      </w:r>
      <w:bookmarkEnd w:id="12"/>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Střední vzdělání s maturitní zkouškou</w:t>
            </w:r>
          </w:p>
        </w:tc>
        <w:tc>
          <w:tcPr>
            <w:tcW w:w="2000" w:type="dxa"/>
          </w:tcPr>
          <w:p>
            <w:pPr>
              <w:jc w:val="center"/>
            </w:pPr>
            <w:r>
              <w:rPr/>
              <w:t xml:space="preserve">xxxxL</w:t>
            </w:r>
          </w:p>
        </w:tc>
      </w:tr>
      <w:tr>
        <w:trPr/>
        <w:tc>
          <w:tcPr>
            <w:tcW w:w="2000" w:type="dxa"/>
          </w:tcPr>
          <w:p>
            <w:pPr>
              <w:jc w:val="center"/>
            </w:pPr>
            <w:r>
              <w:rPr/>
              <w:t xml:space="preserve">KKOV</w:t>
            </w:r>
          </w:p>
        </w:tc>
        <w:tc>
          <w:tcPr>
            <w:tcW w:w="5000" w:type="dxa"/>
          </w:tcPr>
          <w:p>
            <w:pPr/>
            <w:r>
              <w:rPr/>
              <w:t xml:space="preserve">Střední vzdělání s maturitní zkouškou (bez vyučení)</w:t>
            </w:r>
          </w:p>
        </w:tc>
        <w:tc>
          <w:tcPr>
            <w:tcW w:w="2000" w:type="dxa"/>
          </w:tcPr>
          <w:p>
            <w:pPr>
              <w:jc w:val="center"/>
            </w:pPr>
            <w:r>
              <w:rPr/>
              <w:t xml:space="preserve">xxxxM</w:t>
            </w:r>
          </w:p>
        </w:tc>
      </w:tr>
    </w:tbl>
    <w:p/>
    <w:p>
      <w:pPr>
        <w:pStyle w:val="Heading2"/>
      </w:pPr>
      <w:bookmarkStart w:id="13" w:name="_Toc13"/>
      <w:r>
        <w:t>Kompetenční požadavky</w:t>
      </w:r>
      <w:bookmarkEnd w:id="13"/>
    </w:p>
    <w:p>
      <w:pPr>
        <w:pStyle w:val="Heading3"/>
      </w:pPr>
      <w:bookmarkStart w:id="14" w:name="_Toc14"/>
      <w:r>
        <w:t>Odborné dovednosti</w:t>
      </w:r>
      <w:bookmarkEnd w:id="14"/>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j41.C.6212</w:t>
            </w:r>
          </w:p>
        </w:tc>
        <w:tc>
          <w:tcPr>
            <w:tcW w:w="3000" w:type="dxa"/>
          </w:tcPr>
          <w:p>
            <w:pPr/>
            <w:r>
              <w:rPr/>
              <w:t xml:space="preserve">Vyučování formou příkladů, problémových situací, vedení k vlastnímu objevování, organizace samostatné činnosti žáků (studentů)</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j41.D.2211</w:t>
            </w:r>
          </w:p>
        </w:tc>
        <w:tc>
          <w:tcPr>
            <w:tcW w:w="3000" w:type="dxa"/>
          </w:tcPr>
          <w:p>
            <w:pPr/>
            <w:r>
              <w:rPr/>
              <w:t xml:space="preserve">Rozložení učebních osnov a vzdělávacích cílů do jednotlivých témat a úkonů</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j41.D.2212</w:t>
            </w:r>
          </w:p>
        </w:tc>
        <w:tc>
          <w:tcPr>
            <w:tcW w:w="3000" w:type="dxa"/>
          </w:tcPr>
          <w:p>
            <w:pPr/>
            <w:r>
              <w:rPr/>
              <w:t xml:space="preserve">Rozpracování vyučovacích témat a úkonů do příprav pro jednotlivé vyučovací hodiny</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j41.D.7211</w:t>
            </w:r>
          </w:p>
        </w:tc>
        <w:tc>
          <w:tcPr>
            <w:tcW w:w="3000" w:type="dxa"/>
          </w:tcPr>
          <w:p>
            <w:pPr/>
            <w:r>
              <w:rPr/>
              <w:t xml:space="preserve">Úpravy obsahu učiva podle změn ve vývoji vědy a techniky, podle zaměření podniků v místě školy, apod.</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j41.C.6221</w:t>
            </w:r>
          </w:p>
        </w:tc>
        <w:tc>
          <w:tcPr>
            <w:tcW w:w="3000" w:type="dxa"/>
          </w:tcPr>
          <w:p>
            <w:pPr/>
            <w:r>
              <w:rPr/>
              <w:t xml:space="preserve">Motivování k zájmu o učivo, samostatné činnosti a podpora zvídavosti a spolupráce</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j41.C.6311</w:t>
            </w:r>
          </w:p>
        </w:tc>
        <w:tc>
          <w:tcPr>
            <w:tcW w:w="3000" w:type="dxa"/>
          </w:tcPr>
          <w:p>
            <w:pPr/>
            <w:r>
              <w:rPr/>
              <w:t xml:space="preserve">Zjišťování, jak žáci (studenti) pochopili učivo</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j41.C.6312</w:t>
            </w:r>
          </w:p>
        </w:tc>
        <w:tc>
          <w:tcPr>
            <w:tcW w:w="3000" w:type="dxa"/>
          </w:tcPr>
          <w:p>
            <w:pPr/>
            <w:r>
              <w:rPr/>
              <w:t xml:space="preserve">Ústní a písemné zkoušení</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j41.C.6218</w:t>
            </w:r>
          </w:p>
        </w:tc>
        <w:tc>
          <w:tcPr>
            <w:tcW w:w="3000" w:type="dxa"/>
          </w:tcPr>
          <w:p>
            <w:pPr/>
            <w:r>
              <w:rPr/>
              <w:t xml:space="preserve">Vedení výuky se zřetelem na speciální vzdělávací potřeby žáků (studentů)</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j41.C.6611</w:t>
            </w:r>
          </w:p>
        </w:tc>
        <w:tc>
          <w:tcPr>
            <w:tcW w:w="3000" w:type="dxa"/>
          </w:tcPr>
          <w:p>
            <w:pPr/>
            <w:r>
              <w:rPr/>
              <w:t xml:space="preserve">Předvádění praktických činností</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j41.C.6612</w:t>
            </w:r>
          </w:p>
        </w:tc>
        <w:tc>
          <w:tcPr>
            <w:tcW w:w="3000" w:type="dxa"/>
          </w:tcPr>
          <w:p>
            <w:pPr/>
            <w:r>
              <w:rPr/>
              <w:t xml:space="preserve">Vedení žáků (studentů) při provádění praktických činností</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j41.Z.5211</w:t>
            </w:r>
          </w:p>
        </w:tc>
        <w:tc>
          <w:tcPr>
            <w:tcW w:w="3000" w:type="dxa"/>
          </w:tcPr>
          <w:p>
            <w:pPr/>
            <w:r>
              <w:rPr/>
              <w:t xml:space="preserve">Organizace činnosti na pracovišti praktického vyučování nebo odb. výcviku</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e81.C.6150</w:t>
            </w:r>
          </w:p>
        </w:tc>
        <w:tc>
          <w:tcPr>
            <w:tcW w:w="3000" w:type="dxa"/>
          </w:tcPr>
          <w:p>
            <w:pPr/>
            <w:r>
              <w:rPr/>
              <w:t xml:space="preserve">Pedagogická činnost v oblasti elektrotechnické výroby</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j41.D.1201</w:t>
            </w:r>
          </w:p>
        </w:tc>
        <w:tc>
          <w:tcPr>
            <w:tcW w:w="3000" w:type="dxa"/>
          </w:tcPr>
          <w:p>
            <w:pPr/>
            <w:r>
              <w:rPr/>
              <w:t xml:space="preserve">Orientace v učebních plánech, osnovách a dalších učebních dokumentech</w:t>
            </w:r>
          </w:p>
        </w:tc>
        <w:tc>
          <w:tcPr>
            <w:tcW w:w="2000" w:type="dxa"/>
          </w:tcPr>
          <w:p>
            <w:pPr>
              <w:jc w:val="center"/>
            </w:pPr>
            <w:r>
              <w:rPr/>
              <w:t xml:space="preserve">6</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5" w:name="_Toc15"/>
      <w:r>
        <w:t>Odborné znalosti</w:t>
      </w:r>
      <w:bookmarkEnd w:id="15"/>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j41._.0001</w:t>
            </w:r>
          </w:p>
        </w:tc>
        <w:tc>
          <w:tcPr>
            <w:tcW w:w="3000" w:type="dxa"/>
          </w:tcPr>
          <w:p>
            <w:pPr/>
            <w:r>
              <w:rPr/>
              <w:t xml:space="preserve">obecná pedagogika</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j41._.0015</w:t>
            </w:r>
          </w:p>
        </w:tc>
        <w:tc>
          <w:tcPr>
            <w:tcW w:w="3000" w:type="dxa"/>
          </w:tcPr>
          <w:p>
            <w:pPr/>
            <w:r>
              <w:rPr/>
              <w:t xml:space="preserve">výuka odborných disciplin</w:t>
            </w:r>
          </w:p>
        </w:tc>
        <w:tc>
          <w:tcPr>
            <w:tcW w:w="2000" w:type="dxa"/>
          </w:tcPr>
          <w:p>
            <w:pPr>
              <w:jc w:val="center"/>
            </w:pPr>
            <w:r>
              <w:rPr/>
              <w:t xml:space="preserve">6</w:t>
            </w:r>
          </w:p>
        </w:tc>
        <w:tc>
          <w:tcPr>
            <w:tcW w:w="2000" w:type="dxa"/>
          </w:tcPr>
          <w:p>
            <w:pPr>
              <w:jc w:val="center"/>
            </w:pPr>
            <w:r>
              <w:rPr/>
              <w:t xml:space="preserve">Výhodné</w:t>
            </w:r>
          </w:p>
        </w:tc>
      </w:tr>
      <w:tr>
        <w:trPr/>
        <w:tc>
          <w:tcPr>
            <w:tcW w:w="2000" w:type="dxa"/>
          </w:tcPr>
          <w:p>
            <w:pPr>
              <w:jc w:val="center"/>
            </w:pPr>
            <w:r>
              <w:rPr/>
              <w:t xml:space="preserve">j41._.0017</w:t>
            </w:r>
          </w:p>
        </w:tc>
        <w:tc>
          <w:tcPr>
            <w:tcW w:w="3000" w:type="dxa"/>
          </w:tcPr>
          <w:p>
            <w:pPr/>
            <w:r>
              <w:rPr/>
              <w:t xml:space="preserve">didaktika odborného výcviku a praktického vyučování</w:t>
            </w:r>
          </w:p>
        </w:tc>
        <w:tc>
          <w:tcPr>
            <w:tcW w:w="2000" w:type="dxa"/>
          </w:tcPr>
          <w:p>
            <w:pPr>
              <w:jc w:val="center"/>
            </w:pPr>
            <w:r>
              <w:rPr/>
              <w:t xml:space="preserve">4</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6" w:name="_Toc16"/>
      <w:r>
        <w:t>Obecné dovednosti</w:t>
      </w:r>
      <w:bookmarkEnd w:id="16"/>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0-3</w:t>
            </w:r>
          </w:p>
        </w:tc>
      </w:tr>
      <w:tr>
        <w:trPr/>
        <w:tc>
          <w:tcPr>
            <w:tcW w:w="2000" w:type="dxa"/>
          </w:tcPr>
          <w:p>
            <w:pPr>
              <w:jc w:val="center"/>
            </w:pPr>
            <w:r>
              <w:rPr/>
              <w:t xml:space="preserve">b01</w:t>
            </w:r>
          </w:p>
        </w:tc>
        <w:tc>
          <w:tcPr>
            <w:tcW w:w="5000" w:type="dxa"/>
          </w:tcPr>
          <w:p>
            <w:pPr/>
            <w:r>
              <w:rPr/>
              <w:t xml:space="preserve">Počítačová způsobilost</w:t>
            </w:r>
          </w:p>
        </w:tc>
        <w:tc>
          <w:tcPr>
            <w:tcW w:w="2000" w:type="dxa"/>
          </w:tcPr>
          <w:p>
            <w:pPr>
              <w:jc w:val="center"/>
            </w:pPr>
            <w:r>
              <w:rPr/>
              <w:t xml:space="preserve">3</w:t>
            </w:r>
          </w:p>
        </w:tc>
      </w:tr>
      <w:tr>
        <w:trPr/>
        <w:tc>
          <w:tcPr>
            <w:tcW w:w="2000" w:type="dxa"/>
          </w:tcPr>
          <w:p>
            <w:pPr>
              <w:jc w:val="center"/>
            </w:pPr>
            <w:r>
              <w:rPr/>
              <w:t xml:space="preserve">b02</w:t>
            </w:r>
          </w:p>
        </w:tc>
        <w:tc>
          <w:tcPr>
            <w:tcW w:w="5000" w:type="dxa"/>
          </w:tcPr>
          <w:p>
            <w:pPr/>
            <w:r>
              <w:rPr/>
              <w:t xml:space="preserve">Způsobilost k řízení osobního automobilu</w:t>
            </w:r>
          </w:p>
        </w:tc>
        <w:tc>
          <w:tcPr>
            <w:tcW w:w="2000" w:type="dxa"/>
          </w:tcPr>
          <w:p>
            <w:pPr>
              <w:jc w:val="center"/>
            </w:pPr>
            <w:r>
              <w:rPr/>
              <w:t xml:space="preserve">0</w:t>
            </w:r>
          </w:p>
        </w:tc>
      </w:tr>
      <w:tr>
        <w:trPr/>
        <w:tc>
          <w:tcPr>
            <w:tcW w:w="2000" w:type="dxa"/>
          </w:tcPr>
          <w:p>
            <w:pPr>
              <w:jc w:val="center"/>
            </w:pPr>
            <w:r>
              <w:rPr/>
              <w:t xml:space="preserve">b03</w:t>
            </w:r>
          </w:p>
        </w:tc>
        <w:tc>
          <w:tcPr>
            <w:tcW w:w="5000" w:type="dxa"/>
          </w:tcPr>
          <w:p>
            <w:pPr/>
            <w:r>
              <w:rPr/>
              <w:t xml:space="preserve">Numerická způsobilost</w:t>
            </w:r>
          </w:p>
        </w:tc>
        <w:tc>
          <w:tcPr>
            <w:tcW w:w="2000" w:type="dxa"/>
          </w:tcPr>
          <w:p>
            <w:pPr>
              <w:jc w:val="center"/>
            </w:pPr>
            <w:r>
              <w:rPr/>
              <w:t xml:space="preserve">3</w:t>
            </w:r>
          </w:p>
        </w:tc>
      </w:tr>
      <w:tr>
        <w:trPr/>
        <w:tc>
          <w:tcPr>
            <w:tcW w:w="2000" w:type="dxa"/>
          </w:tcPr>
          <w:p>
            <w:pPr>
              <w:jc w:val="center"/>
            </w:pPr>
            <w:r>
              <w:rPr/>
              <w:t xml:space="preserve">b04</w:t>
            </w:r>
          </w:p>
        </w:tc>
        <w:tc>
          <w:tcPr>
            <w:tcW w:w="5000" w:type="dxa"/>
          </w:tcPr>
          <w:p>
            <w:pPr/>
            <w:r>
              <w:rPr/>
              <w:t xml:space="preserve">Ekonomické povědomí</w:t>
            </w:r>
          </w:p>
        </w:tc>
        <w:tc>
          <w:tcPr>
            <w:tcW w:w="2000" w:type="dxa"/>
          </w:tcPr>
          <w:p>
            <w:pPr>
              <w:jc w:val="center"/>
            </w:pPr>
            <w:r>
              <w:rPr/>
              <w:t xml:space="preserve">2</w:t>
            </w:r>
          </w:p>
        </w:tc>
      </w:tr>
      <w:tr>
        <w:trPr/>
        <w:tc>
          <w:tcPr>
            <w:tcW w:w="2000" w:type="dxa"/>
          </w:tcPr>
          <w:p>
            <w:pPr>
              <w:jc w:val="center"/>
            </w:pPr>
            <w:r>
              <w:rPr/>
              <w:t xml:space="preserve">b05</w:t>
            </w:r>
          </w:p>
        </w:tc>
        <w:tc>
          <w:tcPr>
            <w:tcW w:w="5000" w:type="dxa"/>
          </w:tcPr>
          <w:p>
            <w:pPr/>
            <w:r>
              <w:rPr/>
              <w:t xml:space="preserve">Právní povědomí</w:t>
            </w:r>
          </w:p>
        </w:tc>
        <w:tc>
          <w:tcPr>
            <w:tcW w:w="2000" w:type="dxa"/>
          </w:tcPr>
          <w:p>
            <w:pPr>
              <w:jc w:val="center"/>
            </w:pPr>
            <w:r>
              <w:rPr/>
              <w:t xml:space="preserve">2</w:t>
            </w:r>
          </w:p>
        </w:tc>
      </w:tr>
      <w:tr>
        <w:trPr/>
        <w:tc>
          <w:tcPr>
            <w:tcW w:w="2000" w:type="dxa"/>
          </w:tcPr>
          <w:p>
            <w:pPr>
              <w:jc w:val="center"/>
            </w:pPr>
            <w:r>
              <w:rPr/>
              <w:t xml:space="preserve">b06</w:t>
            </w:r>
          </w:p>
        </w:tc>
        <w:tc>
          <w:tcPr>
            <w:tcW w:w="5000" w:type="dxa"/>
          </w:tcPr>
          <w:p>
            <w:pPr/>
            <w:r>
              <w:rPr/>
              <w:t xml:space="preserve">Jazyková způsobilost v češtině</w:t>
            </w:r>
          </w:p>
        </w:tc>
        <w:tc>
          <w:tcPr>
            <w:tcW w:w="2000" w:type="dxa"/>
          </w:tcPr>
          <w:p>
            <w:pPr>
              <w:jc w:val="center"/>
            </w:pPr>
            <w:r>
              <w:rPr/>
              <w:t xml:space="preserve">3</w:t>
            </w:r>
          </w:p>
        </w:tc>
      </w:tr>
      <w:tr>
        <w:trPr/>
        <w:tc>
          <w:tcPr>
            <w:tcW w:w="2000" w:type="dxa"/>
          </w:tcPr>
          <w:p>
            <w:pPr>
              <w:jc w:val="center"/>
            </w:pPr>
            <w:r>
              <w:rPr/>
              <w:t xml:space="preserve">b07</w:t>
            </w:r>
          </w:p>
        </w:tc>
        <w:tc>
          <w:tcPr>
            <w:tcW w:w="5000" w:type="dxa"/>
          </w:tcPr>
          <w:p>
            <w:pPr/>
            <w:r>
              <w:rPr/>
              <w:t xml:space="preserve">Jazyková způsobilost v angličtině</w:t>
            </w:r>
          </w:p>
        </w:tc>
        <w:tc>
          <w:tcPr>
            <w:tcW w:w="2000" w:type="dxa"/>
          </w:tcPr>
          <w:p>
            <w:pPr>
              <w:jc w:val="center"/>
            </w:pPr>
            <w:r>
              <w:rPr/>
              <w:t xml:space="preserve">2</w:t>
            </w:r>
          </w:p>
        </w:tc>
      </w:tr>
      <w:tr>
        <w:trPr/>
        <w:tc>
          <w:tcPr>
            <w:tcW w:w="2000" w:type="dxa"/>
          </w:tcPr>
          <w:p>
            <w:pPr>
              <w:jc w:val="center"/>
            </w:pPr>
            <w:r>
              <w:rPr/>
              <w:t xml:space="preserve">b08</w:t>
            </w:r>
          </w:p>
        </w:tc>
        <w:tc>
          <w:tcPr>
            <w:tcW w:w="5000" w:type="dxa"/>
          </w:tcPr>
          <w:p>
            <w:pPr/>
            <w:r>
              <w:rPr/>
              <w:t xml:space="preserve">Jazyková způsobilost v dalším cizím jazyce</w:t>
            </w:r>
          </w:p>
        </w:tc>
        <w:tc>
          <w:tcPr>
            <w:tcW w:w="2000" w:type="dxa"/>
          </w:tcPr>
          <w:p>
            <w:pPr>
              <w:jc w:val="center"/>
            </w:pPr>
            <w:r>
              <w:rPr/>
              <w:t xml:space="preserve">0</w:t>
            </w:r>
          </w:p>
        </w:tc>
      </w:tr>
    </w:tbl>
    <w:p>
      <w:pPr/>
      <w:r>
        <w:rPr>
          <w:sz w:val="16"/>
          <w:szCs w:val="16"/>
          <w:i w:val="1"/>
          <w:iCs w:val="1"/>
        </w:rPr>
        <w:t xml:space="preserve">Popisy úrovní naleznete zde: https://nsp.cz/downloads/Priloha_c10_manualu.pdf</w:t>
      </w:r>
    </w:p>
    <w:p/>
    <w:p>
      <w:pPr/>
      <w:r>
        <w:rPr>
          <w:sz w:val="16"/>
          <w:szCs w:val="16"/>
          <w:i w:val="1"/>
          <w:iCs w:val="1"/>
        </w:rPr>
        <w:t xml:space="preserve">Popisy úrovní naleznete zde: https://nsp.cz/downloads/Priloha_c15_manualu.pdf</w:t>
      </w:r>
    </w:p>
    <w:p/>
    <w:p>
      <w:pPr>
        <w:pStyle w:val="Heading3"/>
      </w:pPr>
      <w:bookmarkStart w:id="17" w:name="_Toc17"/>
      <w:r>
        <w:t>Měkké kompetence</w:t>
      </w:r>
      <w:bookmarkEnd w:id="17"/>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0-5</w:t>
            </w:r>
          </w:p>
        </w:tc>
      </w:tr>
      <w:tr>
        <w:trPr/>
        <w:tc>
          <w:tcPr>
            <w:tcW w:w="2000" w:type="dxa"/>
          </w:tcPr>
          <w:p>
            <w:pPr>
              <w:jc w:val="center"/>
            </w:pPr>
            <w:r>
              <w:rPr/>
              <w:t xml:space="preserve">2.1</w:t>
            </w:r>
          </w:p>
        </w:tc>
        <w:tc>
          <w:tcPr>
            <w:tcW w:w="5000" w:type="dxa"/>
          </w:tcPr>
          <w:p>
            <w:pPr/>
            <w:r>
              <w:rPr/>
              <w:t xml:space="preserve">Kompetence k efektivní komunikaci</w:t>
            </w:r>
          </w:p>
        </w:tc>
        <w:tc>
          <w:tcPr>
            <w:tcW w:w="2000" w:type="dxa"/>
          </w:tcPr>
          <w:p>
            <w:pPr>
              <w:jc w:val="center"/>
            </w:pPr>
            <w:r>
              <w:rPr/>
              <w:t xml:space="preserve">5</w:t>
            </w:r>
          </w:p>
        </w:tc>
      </w:tr>
      <w:tr>
        <w:trPr/>
        <w:tc>
          <w:tcPr>
            <w:tcW w:w="2000" w:type="dxa"/>
          </w:tcPr>
          <w:p>
            <w:pPr>
              <w:jc w:val="center"/>
            </w:pPr>
            <w:r>
              <w:rPr/>
              <w:t xml:space="preserve">2.6</w:t>
            </w:r>
          </w:p>
        </w:tc>
        <w:tc>
          <w:tcPr>
            <w:tcW w:w="5000" w:type="dxa"/>
          </w:tcPr>
          <w:p>
            <w:pPr/>
            <w:r>
              <w:rPr/>
              <w:t xml:space="preserve">Kompetence k vedení lidí</w:t>
            </w:r>
          </w:p>
        </w:tc>
        <w:tc>
          <w:tcPr>
            <w:tcW w:w="2000" w:type="dxa"/>
          </w:tcPr>
          <w:p>
            <w:pPr>
              <w:jc w:val="center"/>
            </w:pPr>
            <w:r>
              <w:rPr/>
              <w:t xml:space="preserve">4</w:t>
            </w:r>
          </w:p>
        </w:tc>
      </w:tr>
      <w:tr>
        <w:trPr/>
        <w:tc>
          <w:tcPr>
            <w:tcW w:w="2000" w:type="dxa"/>
          </w:tcPr>
          <w:p>
            <w:pPr>
              <w:jc w:val="center"/>
            </w:pPr>
            <w:r>
              <w:rPr/>
              <w:t xml:space="preserve">3.3</w:t>
            </w:r>
          </w:p>
        </w:tc>
        <w:tc>
          <w:tcPr>
            <w:tcW w:w="5000" w:type="dxa"/>
          </w:tcPr>
          <w:p>
            <w:pPr/>
            <w:r>
              <w:rPr/>
              <w:t xml:space="preserve">Kompetence k objevování a orientaci v informacích</w:t>
            </w:r>
          </w:p>
        </w:tc>
        <w:tc>
          <w:tcPr>
            <w:tcW w:w="2000" w:type="dxa"/>
          </w:tcPr>
          <w:p>
            <w:pPr>
              <w:jc w:val="center"/>
            </w:pPr>
            <w:r>
              <w:rPr/>
              <w:t xml:space="preserve">4</w:t>
            </w:r>
          </w:p>
        </w:tc>
      </w:tr>
      <w:tr>
        <w:trPr/>
        <w:tc>
          <w:tcPr>
            <w:tcW w:w="2000" w:type="dxa"/>
          </w:tcPr>
          <w:p>
            <w:pPr>
              <w:jc w:val="center"/>
            </w:pPr>
            <w:r>
              <w:rPr/>
              <w:t xml:space="preserve">1.4</w:t>
            </w:r>
          </w:p>
        </w:tc>
        <w:tc>
          <w:tcPr>
            <w:tcW w:w="5000" w:type="dxa"/>
          </w:tcPr>
          <w:p>
            <w:pPr/>
            <w:r>
              <w:rPr/>
              <w:t xml:space="preserve">Kompetence ke zvládání stresu a zátěže</w:t>
            </w:r>
          </w:p>
        </w:tc>
        <w:tc>
          <w:tcPr>
            <w:tcW w:w="2000" w:type="dxa"/>
          </w:tcPr>
          <w:p>
            <w:pPr>
              <w:jc w:val="center"/>
            </w:pPr>
            <w:r>
              <w:rPr/>
              <w:t xml:space="preserve">4</w:t>
            </w:r>
          </w:p>
        </w:tc>
      </w:tr>
      <w:tr>
        <w:trPr/>
        <w:tc>
          <w:tcPr>
            <w:tcW w:w="2000" w:type="dxa"/>
          </w:tcPr>
          <w:p>
            <w:pPr>
              <w:jc w:val="center"/>
            </w:pPr>
            <w:r>
              <w:rPr/>
              <w:t xml:space="preserve">4.1</w:t>
            </w:r>
          </w:p>
        </w:tc>
        <w:tc>
          <w:tcPr>
            <w:tcW w:w="5000" w:type="dxa"/>
          </w:tcPr>
          <w:p>
            <w:pPr/>
            <w:r>
              <w:rPr/>
              <w:t xml:space="preserve">Kompetence k aktivnímu přístupu</w:t>
            </w:r>
          </w:p>
        </w:tc>
        <w:tc>
          <w:tcPr>
            <w:tcW w:w="2000" w:type="dxa"/>
          </w:tcPr>
          <w:p>
            <w:pPr>
              <w:jc w:val="center"/>
            </w:pPr>
            <w:r>
              <w:rPr/>
              <w:t xml:space="preserve">5</w:t>
            </w:r>
          </w:p>
        </w:tc>
      </w:tr>
      <w:tr>
        <w:trPr/>
        <w:tc>
          <w:tcPr>
            <w:tcW w:w="2000" w:type="dxa"/>
          </w:tcPr>
          <w:p>
            <w:pPr>
              <w:jc w:val="center"/>
            </w:pPr>
            <w:r>
              <w:rPr/>
              <w:t xml:space="preserve">1.1</w:t>
            </w:r>
          </w:p>
        </w:tc>
        <w:tc>
          <w:tcPr>
            <w:tcW w:w="5000" w:type="dxa"/>
          </w:tcPr>
          <w:p>
            <w:pPr/>
            <w:r>
              <w:rPr/>
              <w:t xml:space="preserve">Kompetence k celoživotnímu vzdělávání</w:t>
            </w:r>
          </w:p>
        </w:tc>
        <w:tc>
          <w:tcPr>
            <w:tcW w:w="2000" w:type="dxa"/>
          </w:tcPr>
          <w:p>
            <w:pPr>
              <w:jc w:val="center"/>
            </w:pPr>
            <w:r>
              <w:rPr/>
              <w:t xml:space="preserve">4</w:t>
            </w:r>
          </w:p>
        </w:tc>
      </w:tr>
      <w:tr>
        <w:trPr/>
        <w:tc>
          <w:tcPr>
            <w:tcW w:w="2000" w:type="dxa"/>
          </w:tcPr>
          <w:p>
            <w:pPr>
              <w:jc w:val="center"/>
            </w:pPr>
            <w:r>
              <w:rPr/>
              <w:t xml:space="preserve">4.2</w:t>
            </w:r>
          </w:p>
        </w:tc>
        <w:tc>
          <w:tcPr>
            <w:tcW w:w="5000" w:type="dxa"/>
          </w:tcPr>
          <w:p>
            <w:pPr/>
            <w:r>
              <w:rPr/>
              <w:t xml:space="preserve">Kompetence k plánování a organizování práce</w:t>
            </w:r>
          </w:p>
        </w:tc>
        <w:tc>
          <w:tcPr>
            <w:tcW w:w="2000" w:type="dxa"/>
          </w:tcPr>
          <w:p>
            <w:pPr>
              <w:jc w:val="center"/>
            </w:pPr>
            <w:r>
              <w:rPr/>
              <w:t xml:space="preserve">4</w:t>
            </w:r>
          </w:p>
        </w:tc>
      </w:tr>
      <w:tr>
        <w:trPr/>
        <w:tc>
          <w:tcPr>
            <w:tcW w:w="2000" w:type="dxa"/>
          </w:tcPr>
          <w:p>
            <w:pPr>
              <w:jc w:val="center"/>
            </w:pPr>
            <w:r>
              <w:rPr/>
              <w:t xml:space="preserve">4.4</w:t>
            </w:r>
          </w:p>
        </w:tc>
        <w:tc>
          <w:tcPr>
            <w:tcW w:w="5000" w:type="dxa"/>
          </w:tcPr>
          <w:p>
            <w:pPr/>
            <w:r>
              <w:rPr/>
              <w:t xml:space="preserve">Kompetence k řešení problémů</w:t>
            </w:r>
          </w:p>
        </w:tc>
        <w:tc>
          <w:tcPr>
            <w:tcW w:w="2000" w:type="dxa"/>
          </w:tcPr>
          <w:p>
            <w:pPr>
              <w:jc w:val="center"/>
            </w:pPr>
            <w:r>
              <w:rPr/>
              <w:t xml:space="preserve">5</w:t>
            </w:r>
          </w:p>
        </w:tc>
      </w:tr>
      <w:tr>
        <w:trPr/>
        <w:tc>
          <w:tcPr>
            <w:tcW w:w="2000" w:type="dxa"/>
          </w:tcPr>
          <w:p>
            <w:pPr>
              <w:jc w:val="center"/>
            </w:pPr>
            <w:r>
              <w:rPr/>
              <w:t xml:space="preserve">4.5</w:t>
            </w:r>
          </w:p>
        </w:tc>
        <w:tc>
          <w:tcPr>
            <w:tcW w:w="5000" w:type="dxa"/>
          </w:tcPr>
          <w:p>
            <w:pPr/>
            <w:r>
              <w:rPr/>
              <w:t xml:space="preserve">Kompetence k samostatnosti</w:t>
            </w:r>
          </w:p>
        </w:tc>
        <w:tc>
          <w:tcPr>
            <w:tcW w:w="2000" w:type="dxa"/>
          </w:tcPr>
          <w:p>
            <w:pPr>
              <w:jc w:val="center"/>
            </w:pPr>
            <w:r>
              <w:rPr/>
              <w:t xml:space="preserve">5</w:t>
            </w:r>
          </w:p>
        </w:tc>
      </w:tr>
      <w:tr>
        <w:trPr/>
        <w:tc>
          <w:tcPr>
            <w:tcW w:w="2000" w:type="dxa"/>
          </w:tcPr>
          <w:p>
            <w:pPr>
              <w:jc w:val="center"/>
            </w:pPr>
            <w:r>
              <w:rPr/>
              <w:t xml:space="preserve">4.6</w:t>
            </w:r>
          </w:p>
        </w:tc>
        <w:tc>
          <w:tcPr>
            <w:tcW w:w="5000" w:type="dxa"/>
          </w:tcPr>
          <w:p>
            <w:pPr/>
            <w:r>
              <w:rPr/>
              <w:t xml:space="preserve">Kompetence k výkonnosti</w:t>
            </w:r>
          </w:p>
        </w:tc>
        <w:tc>
          <w:tcPr>
            <w:tcW w:w="2000" w:type="dxa"/>
          </w:tcPr>
          <w:p>
            <w:pPr>
              <w:jc w:val="center"/>
            </w:pPr>
            <w:r>
              <w:rPr/>
              <w:t xml:space="preserve">4</w:t>
            </w:r>
          </w:p>
        </w:tc>
      </w:tr>
      <w:tr>
        <w:trPr/>
        <w:tc>
          <w:tcPr>
            <w:tcW w:w="2000" w:type="dxa"/>
          </w:tcPr>
          <w:p>
            <w:pPr>
              <w:jc w:val="center"/>
            </w:pPr>
            <w:r>
              <w:rPr/>
              <w:t xml:space="preserve">2.3</w:t>
            </w:r>
          </w:p>
        </w:tc>
        <w:tc>
          <w:tcPr>
            <w:tcW w:w="5000" w:type="dxa"/>
          </w:tcPr>
          <w:p>
            <w:pPr/>
            <w:r>
              <w:rPr/>
              <w:t xml:space="preserve">Kompetence k orientaci na zákazníka a uspokojování zákaznických potřeb</w:t>
            </w:r>
          </w:p>
        </w:tc>
        <w:tc>
          <w:tcPr>
            <w:tcW w:w="2000" w:type="dxa"/>
          </w:tcPr>
          <w:p>
            <w:pPr>
              <w:jc w:val="center"/>
            </w:pPr>
            <w:r>
              <w:rPr/>
              <w:t xml:space="preserve">4</w:t>
            </w:r>
          </w:p>
        </w:tc>
      </w:tr>
      <w:tr>
        <w:trPr/>
        <w:tc>
          <w:tcPr>
            <w:tcW w:w="2000" w:type="dxa"/>
          </w:tcPr>
          <w:p>
            <w:pPr>
              <w:jc w:val="center"/>
            </w:pPr>
            <w:r>
              <w:rPr/>
              <w:t xml:space="preserve">1.2</w:t>
            </w:r>
          </w:p>
        </w:tc>
        <w:tc>
          <w:tcPr>
            <w:tcW w:w="5000" w:type="dxa"/>
          </w:tcPr>
          <w:p>
            <w:pPr/>
            <w:r>
              <w:rPr/>
              <w:t xml:space="preserve">Kompetence k flexibilitě</w:t>
            </w:r>
          </w:p>
        </w:tc>
        <w:tc>
          <w:tcPr>
            <w:tcW w:w="2000" w:type="dxa"/>
          </w:tcPr>
          <w:p>
            <w:pPr>
              <w:jc w:val="center"/>
            </w:pPr>
            <w:r>
              <w:rPr/>
              <w:t xml:space="preserve">4</w:t>
            </w:r>
          </w:p>
        </w:tc>
      </w:tr>
      <w:tr>
        <w:trPr/>
        <w:tc>
          <w:tcPr>
            <w:tcW w:w="2000" w:type="dxa"/>
          </w:tcPr>
          <w:p>
            <w:pPr>
              <w:jc w:val="center"/>
            </w:pPr>
            <w:r>
              <w:rPr/>
              <w:t xml:space="preserve">1.3</w:t>
            </w:r>
          </w:p>
        </w:tc>
        <w:tc>
          <w:tcPr>
            <w:tcW w:w="5000" w:type="dxa"/>
          </w:tcPr>
          <w:p>
            <w:pPr/>
            <w:r>
              <w:rPr/>
              <w:t xml:space="preserve">Kompetence ke kreativitě</w:t>
            </w:r>
          </w:p>
        </w:tc>
        <w:tc>
          <w:tcPr>
            <w:tcW w:w="2000" w:type="dxa"/>
          </w:tcPr>
          <w:p>
            <w:pPr>
              <w:jc w:val="center"/>
            </w:pPr>
            <w:r>
              <w:rPr/>
              <w:t xml:space="preserve">3</w:t>
            </w:r>
          </w:p>
        </w:tc>
      </w:tr>
      <w:tr>
        <w:trPr/>
        <w:tc>
          <w:tcPr>
            <w:tcW w:w="2000" w:type="dxa"/>
          </w:tcPr>
          <w:p>
            <w:pPr>
              <w:jc w:val="center"/>
            </w:pPr>
            <w:r>
              <w:rPr/>
              <w:t xml:space="preserve">2.2</w:t>
            </w:r>
          </w:p>
        </w:tc>
        <w:tc>
          <w:tcPr>
            <w:tcW w:w="5000" w:type="dxa"/>
          </w:tcPr>
          <w:p>
            <w:pPr/>
            <w:r>
              <w:rPr/>
              <w:t xml:space="preserve">Kompetence ke kooperaci</w:t>
            </w:r>
          </w:p>
        </w:tc>
        <w:tc>
          <w:tcPr>
            <w:tcW w:w="2000" w:type="dxa"/>
          </w:tcPr>
          <w:p>
            <w:pPr>
              <w:jc w:val="center"/>
            </w:pPr>
            <w:r>
              <w:rPr/>
              <w:t xml:space="preserve">4</w:t>
            </w:r>
          </w:p>
        </w:tc>
      </w:tr>
      <w:tr>
        <w:trPr/>
        <w:tc>
          <w:tcPr>
            <w:tcW w:w="2000" w:type="dxa"/>
          </w:tcPr>
          <w:p>
            <w:pPr>
              <w:jc w:val="center"/>
            </w:pPr>
            <w:r>
              <w:rPr/>
              <w:t xml:space="preserve">2.4</w:t>
            </w:r>
          </w:p>
        </w:tc>
        <w:tc>
          <w:tcPr>
            <w:tcW w:w="5000" w:type="dxa"/>
          </w:tcPr>
          <w:p>
            <w:pPr/>
            <w:r>
              <w:rPr/>
              <w:t xml:space="preserve">Kompetence k ovlivňování a rozvíjení ostatních</w:t>
            </w:r>
          </w:p>
        </w:tc>
        <w:tc>
          <w:tcPr>
            <w:tcW w:w="2000" w:type="dxa"/>
          </w:tcPr>
          <w:p>
            <w:pPr>
              <w:jc w:val="center"/>
            </w:pPr>
            <w:r>
              <w:rPr/>
              <w:t xml:space="preserve">4</w:t>
            </w:r>
          </w:p>
        </w:tc>
      </w:tr>
    </w:tbl>
    <w:p>
      <w:pPr/>
      <w:r>
        <w:rPr>
          <w:sz w:val="16"/>
          <w:szCs w:val="16"/>
          <w:i w:val="1"/>
          <w:iCs w:val="1"/>
        </w:rPr>
        <w:t xml:space="preserve">Popisy úrovní naleznete zde: https://nsp.cz/downloads/Priloha_c9_manualu.pdf</w:t>
      </w:r>
    </w:p>
    <w:p/>
    <w:p>
      <w:pPr>
        <w:pStyle w:val="Heading2"/>
      </w:pPr>
      <w:bookmarkStart w:id="18" w:name="_Toc18"/>
      <w:r>
        <w:t>Zdravotní podmínky</w:t>
      </w:r>
      <w:bookmarkEnd w:id="18"/>
    </w:p>
    <w:p>
      <w:pPr>
        <w:pStyle w:val="Heading3"/>
      </w:pPr>
      <w:bookmarkStart w:id="19" w:name="_Toc19"/>
      <w:r>
        <w:t>Onemocnění omezující výkon povolání / specializace povolání.</w:t>
      </w:r>
      <w:bookmarkEnd w:id="19"/>
    </w:p>
    <w:p>
      <w:pPr>
        <w:numPr>
          <w:ilvl w:val="0"/>
          <w:numId w:val="5"/>
        </w:numPr>
      </w:pPr>
      <w:r>
        <w:rPr/>
        <w:t xml:space="preserve">Duševní poruchy</w:t>
      </w:r>
    </w:p>
    <w:p>
      <w:pPr>
        <w:numPr>
          <w:ilvl w:val="0"/>
          <w:numId w:val="5"/>
        </w:numPr>
      </w:pPr>
      <w:r>
        <w:rPr/>
        <w:t xml:space="preserve">Poruchy chování</w:t>
      </w:r>
    </w:p>
    <w:p>
      <w:pPr>
        <w:numPr>
          <w:ilvl w:val="0"/>
          <w:numId w:val="5"/>
        </w:numPr>
      </w:pPr>
      <w:r>
        <w:rPr/>
        <w:t xml:space="preserve">Závažná psychosomatická onemocnění</w:t>
      </w:r>
    </w:p>
    <w:p>
      <w:pPr/>
      <w:r>
        <w:rPr>
          <w:sz w:val="16"/>
          <w:szCs w:val="16"/>
          <w:i w:val="1"/>
          <w:iCs w:val="1"/>
        </w:rPr>
        <w:t xml:space="preserve">Přesné posouzení zdravotního stavu s následným doporučením nebo nedoporučením výkonu této pozice je možné pouze po konzultaci s lékařem.</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B6D2A54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spacing w:after="120"/>
    </w:pPr>
    <w:rPr>
      <w:sz w:val="40"/>
      <w:szCs w:val="40"/>
      <w:b w:val="1"/>
      <w:bCs w:val="1"/>
    </w:rPr>
  </w:style>
  <w:style w:type="paragraph" w:styleId="Heading2">
    <w:link w:val="Heading2Char"/>
    <w:name w:val="heading 2"/>
    <w:basedOn w:val="Normal"/>
    <w:pPr>
      <w:spacing w:after="80"/>
    </w:pPr>
    <w:rPr>
      <w:sz w:val="28"/>
      <w:szCs w:val="28"/>
      <w:b w:val="1"/>
      <w:bCs w:val="1"/>
    </w:rPr>
  </w:style>
  <w:style w:type="paragraph" w:styleId="Heading3">
    <w:link w:val="Heading3Char"/>
    <w:name w:val="heading 3"/>
    <w:basedOn w:val="Normal"/>
    <w:pPr>
      <w:spacing w:after="60"/>
    </w:pPr>
    <w:rPr>
      <w:sz w:val="24"/>
      <w:szCs w:val="24"/>
      <w:b w:val="1"/>
      <w:bCs w:val="1"/>
    </w:rPr>
  </w:style>
  <w:style w:type="paragraph" w:styleId="Heading4">
    <w:link w:val="Heading4Char"/>
    <w:name w:val="heading 4"/>
    <w:basedOn w:val="Normal"/>
    <w:pPr>
      <w:spacing w:after="6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FDV</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NSP.CZ</dc:creator>
  <dc:title>Učitel odborného výcviku SŠ elektrotechnika</dc:title>
  <dc:description>Jednotka práce bude aktualizována v souladu s platnou legislativou v průběhu roku 2013 – 2014.
Učitel odborného výcviku střední školy provádí vzdělávací a výchovnou činnost při vyučování žáků střední školy v odborném výcviku v oboru vzdělání Elektrotechnika.</dc:description>
  <dc:subject/>
  <cp:keywords/>
  <cp:category>Specializace</cp:category>
  <cp:lastModifiedBy/>
  <dcterms:created xsi:type="dcterms:W3CDTF">2017-11-22T09:08:32+01:00</dcterms:created>
  <dcterms:modified xsi:type="dcterms:W3CDTF">2024-03-26T10:03:33+01:00</dcterms:modified>
</cp:coreProperties>
</file>

<file path=docProps/custom.xml><?xml version="1.0" encoding="utf-8"?>
<Properties xmlns="http://schemas.openxmlformats.org/officeDocument/2006/custom-properties" xmlns:vt="http://schemas.openxmlformats.org/officeDocument/2006/docPropsVTypes"/>
</file>