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Referent specialista povolování staveb</w:t>
      </w:r>
      <w:bookmarkEnd w:id="1"/>
    </w:p>
    <w:p>
      <w:pPr/>
      <w:r>
        <w:rPr/>
        <w:t xml:space="preserve">Referent specialista povolování staveb vykonává na úrovni krajských úřadů, úřadů obcí s rozšířenou působností a stavebních úřadů činnosti požadované stavebním zákonem, s nutnou znalostí problematiky územního rozhodování a stavebního řádu, správního práva a územního plánování.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Povolání vyřazená z kategorického třídění pro svoji neaktuálnost</w:t>
            </w:r>
          </w:p>
        </w:tc>
      </w:tr>
      <w:tr>
        <w:trPr/>
        <w:tc>
          <w:tcPr/>
          <w:p>
            <w:pPr/>
            <w:r>
              <w:rPr>
                <w:b w:val="1"/>
                <w:bCs w:val="1"/>
              </w:rPr>
              <w:t xml:space="preserve">Odborný podsměr:</w:t>
            </w:r>
          </w:p>
        </w:tc>
        <w:tc>
          <w:tcPr/>
          <w:p>
            <w:pPr/>
            <w:r>
              <w:rPr/>
              <w:t xml:space="preserve">státní správa</w:t>
            </w:r>
          </w:p>
        </w:tc>
      </w:tr>
      <w:tr>
        <w:trPr/>
        <w:tc>
          <w:tcPr/>
          <w:p>
            <w:pPr/>
            <w:r>
              <w:rPr>
                <w:b w:val="1"/>
                <w:bCs w:val="1"/>
              </w:rPr>
              <w:t xml:space="preserve">Kvalifikační úroveň:</w:t>
            </w:r>
          </w:p>
        </w:tc>
        <w:tc>
          <w:tcPr/>
          <w:p>
            <w:pPr/>
            <w:r>
              <w:rPr/>
              <w:t xml:space="preserve">Magisterský studijní program</w:t>
            </w:r>
          </w:p>
        </w:tc>
      </w:tr>
      <w:tr>
        <w:trPr/>
        <w:tc>
          <w:tcPr/>
          <w:p>
            <w:pPr/>
            <w:r>
              <w:rPr>
                <w:b w:val="1"/>
                <w:bCs w:val="1"/>
              </w:rPr>
              <w:t xml:space="preserve">Alternativní názvy:</w:t>
            </w:r>
          </w:p>
        </w:tc>
        <w:tc>
          <w:tcPr/>
          <w:p>
            <w:pPr/>
            <w:r>
              <w:rPr/>
              <w:t xml:space="preserve">Úředník, Referent stavebního řádu, Administrativní pracovník</w:t>
            </w:r>
          </w:p>
        </w:tc>
      </w:tr>
      <w:tr>
        <w:trPr/>
        <w:tc>
          <w:tcPr/>
          <w:p>
            <w:pPr/>
            <w:r>
              <w:rPr>
                <w:b w:val="1"/>
                <w:bCs w:val="1"/>
              </w:rPr>
              <w:t xml:space="preserve">Nadřízené povolání:</w:t>
            </w:r>
          </w:p>
        </w:tc>
        <w:tc>
          <w:tcPr/>
          <w:p>
            <w:pPr/>
            <w:r>
              <w:rPr/>
              <w:t xml:space="preserve">Referent specialista stavebního řádu</w:t>
            </w:r>
          </w:p>
        </w:tc>
      </w:tr>
      <w:tr>
        <w:trPr/>
        <w:tc>
          <w:tcPr/>
          <w:p>
            <w:pPr/>
            <w:r>
              <w:rPr>
                <w:b w:val="1"/>
                <w:bCs w:val="1"/>
              </w:rPr>
              <w:t xml:space="preserve">Příbuzné specializace:</w:t>
            </w:r>
          </w:p>
        </w:tc>
        <w:tc>
          <w:tcPr/>
          <w:p>
            <w:pPr/>
            <w:r>
              <w:rPr/>
              <w:t xml:space="preserve">Referent specialista speciálního stavebního úřadu ve věcech leteckých, Referent specialista speciálního stavebního úřadu ve věcech vodních děl, Referent specialista vojenských a dalších stavebních úřadů, Referent specialista povolování staveb, Referent specialista speciálního stavebního úřadu ve věcech staveb pozemních komunikací, Referent specialista ostatního výkonu státní správy stavebního řádu, Referent specialista speciálního stavebního úřadu ve věcech staveb drah a na dráze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Přezkoumávání rozhodnutí o odvolání proti prvoinstančnímu rozhodnutí obecného stavebního úřadu dle správního řádu.</w:t>
      </w:r>
    </w:p>
    <w:p>
      <w:pPr>
        <w:numPr>
          <w:ilvl w:val="0"/>
          <w:numId w:val="5"/>
        </w:numPr>
      </w:pPr>
      <w:r>
        <w:rPr/>
        <w:t xml:space="preserve">Provádění státního stavebního dohledu.</w:t>
      </w:r>
    </w:p>
    <w:p>
      <w:pPr>
        <w:numPr>
          <w:ilvl w:val="0"/>
          <w:numId w:val="5"/>
        </w:numPr>
      </w:pPr>
      <w:r>
        <w:rPr/>
        <w:t xml:space="preserve">Vedení stavebního řízení v rámci činnosti obecních stavebních řízení.</w:t>
      </w:r>
    </w:p>
    <w:p>
      <w:pPr>
        <w:numPr>
          <w:ilvl w:val="0"/>
          <w:numId w:val="5"/>
        </w:numPr>
      </w:pPr>
      <w:r>
        <w:rPr/>
        <w:t xml:space="preserve">Vydávání stavebních povolení, souhlasu s ohlášenou stavbou, kolaudačního souhlasu, souhlasu ke zkušebnímu provozu před vydáním kolaudačního souhlasu, rozhodnutí o změnách v užívání staveb v rámci činnosti obecních stavebních řízení.</w:t>
      </w:r>
    </w:p>
    <w:p>
      <w:pPr>
        <w:numPr>
          <w:ilvl w:val="0"/>
          <w:numId w:val="5"/>
        </w:numPr>
      </w:pPr>
      <w:r>
        <w:rPr/>
        <w:t xml:space="preserve">Nařizování odstranění stavby, pořízení zjednodušené projektové dokumentace stavby, provádění nezbytných úprav, provádění udržovacích prací, provedení neodkladné zabezpečovací práce, vyklizení stavby v rámci činnosti obecních stavebních řízení.</w:t>
      </w:r>
    </w:p>
    <w:p>
      <w:pPr>
        <w:numPr>
          <w:ilvl w:val="0"/>
          <w:numId w:val="5"/>
        </w:numPr>
      </w:pPr>
      <w:r>
        <w:rPr/>
        <w:t xml:space="preserve">Oznamování stavebního povolení a rozhodnutí o prodloužení platnosti stavebního povolení, zahájení územního řízení a ústního jednání a místního šetření v rámci činnosti obecních stavebních řízení.</w:t>
      </w:r>
    </w:p>
    <w:p>
      <w:pPr>
        <w:numPr>
          <w:ilvl w:val="0"/>
          <w:numId w:val="5"/>
        </w:numPr>
      </w:pPr>
      <w:r>
        <w:rPr/>
        <w:t xml:space="preserve">Přijímání návrhů nebo zahajování a vedení územního řízení, ohlášení na informační, reklamní a propagační zařízení, vydává povolení na jeho umístění, ohlášení stavebnímu úřadu, žádosti na odstranění stavby a povoluje odstranění stavby, žádosti na poskytnutí státního stavebního příspěvku, žádosti na povolení předčasného užívání stavby před dokončením, vydává rozhodnutí k předčasnému užívání, žádosti na provádění terénních úprav a povoluje provádění terénních úprav,  a vydává rozhodnutí o změně stavby před dokončením, žádosti o kolaudační souhlas, žádosti o stavební povolení.</w:t>
      </w:r>
    </w:p>
    <w:p>
      <w:pPr>
        <w:numPr>
          <w:ilvl w:val="0"/>
          <w:numId w:val="5"/>
        </w:numPr>
      </w:pPr>
      <w:r>
        <w:rPr/>
        <w:t xml:space="preserve">Ukládání pokuty za přestupky a správní delikty proti stavebnímu zákonu v rámci činnosti obecních stavebních řízení.</w:t>
      </w:r>
    </w:p>
    <w:p/>
    <w:p>
      <w:pPr>
        <w:pStyle w:val="Heading2"/>
      </w:pPr>
      <w:bookmarkStart w:id="3" w:name="_Toc3"/>
      <w:r>
        <w:t>CZ-ISCO</w:t>
      </w:r>
      <w:bookmarkEnd w:id="3"/>
    </w:p>
    <w:p>
      <w:pPr>
        <w:numPr>
          <w:ilvl w:val="0"/>
          <w:numId w:val="5"/>
        </w:numPr>
      </w:pPr>
      <w:r>
        <w:rPr/>
        <w:t xml:space="preserve">Stavební inženýři výstavby budov</w:t>
      </w:r>
    </w:p>
    <w:p>
      <w:pPr>
        <w:numPr>
          <w:ilvl w:val="0"/>
          <w:numId w:val="5"/>
        </w:numPr>
      </w:pPr>
      <w:r>
        <w:rPr/>
        <w:t xml:space="preserve">Ostatní stavební inženýři</w:t>
      </w:r>
    </w:p>
    <w:p>
      <w:pPr>
        <w:numPr>
          <w:ilvl w:val="0"/>
          <w:numId w:val="5"/>
        </w:numPr>
      </w:pPr>
      <w:r>
        <w:rPr/>
        <w:t xml:space="preserve">Stavební inženýři</w:t>
      </w:r>
    </w:p>
    <w:p/>
    <w:p>
      <w:pPr>
        <w:pStyle w:val="Heading3"/>
      </w:pPr>
      <w:bookmarkStart w:id="4" w:name="_Toc4"/>
      <w:r>
        <w:t>Hrubé měsíční mzdy podle krajů v roce 2023</w:t>
      </w:r>
      <w:bookmarkEnd w:id="4"/>
    </w:p>
    <w:p>
      <w:pPr>
        <w:pStyle w:val="Heading4"/>
      </w:pPr>
      <w:bookmarkStart w:id="5" w:name="_Toc5"/>
      <w:r>
        <w:t>Stavební inženýři (CZ-ISCO 2142)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43 617 Kč</w:t>
            </w:r>
          </w:p>
        </w:tc>
        <w:tc>
          <w:tcPr>
            <w:tcW w:w="1000" w:type="dxa"/>
          </w:tcPr>
          <w:p>
            <w:pPr>
              <w:jc w:val="center"/>
            </w:pPr>
            <w:r>
              <w:rPr/>
              <w:t xml:space="preserve">66 158 Kč</w:t>
            </w:r>
          </w:p>
        </w:tc>
        <w:tc>
          <w:tcPr>
            <w:tcW w:w="1000" w:type="dxa"/>
          </w:tcPr>
          <w:p>
            <w:pPr>
              <w:jc w:val="center"/>
            </w:pPr>
            <w:r>
              <w:rPr>
                <w:sz w:val="16"/>
                <w:szCs w:val="16"/>
              </w:rPr>
              <w:t xml:space="preserve">108 277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41 388 Kč</w:t>
            </w:r>
          </w:p>
        </w:tc>
        <w:tc>
          <w:tcPr>
            <w:tcW w:w="1000" w:type="dxa"/>
          </w:tcPr>
          <w:p>
            <w:pPr>
              <w:jc w:val="center"/>
            </w:pPr>
            <w:r>
              <w:rPr/>
              <w:t xml:space="preserve">63 853 Kč</w:t>
            </w:r>
          </w:p>
        </w:tc>
        <w:tc>
          <w:tcPr>
            <w:tcW w:w="1000" w:type="dxa"/>
          </w:tcPr>
          <w:p>
            <w:pPr>
              <w:jc w:val="center"/>
            </w:pPr>
            <w:r>
              <w:rPr>
                <w:sz w:val="16"/>
                <w:szCs w:val="16"/>
              </w:rPr>
              <w:t xml:space="preserve">100 275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45 470 Kč</w:t>
            </w:r>
          </w:p>
        </w:tc>
        <w:tc>
          <w:tcPr>
            <w:tcW w:w="1000" w:type="dxa"/>
          </w:tcPr>
          <w:p>
            <w:pPr>
              <w:jc w:val="center"/>
            </w:pPr>
            <w:r>
              <w:rPr/>
              <w:t xml:space="preserve">65 078 Kč</w:t>
            </w:r>
          </w:p>
        </w:tc>
        <w:tc>
          <w:tcPr>
            <w:tcW w:w="1000" w:type="dxa"/>
          </w:tcPr>
          <w:p>
            <w:pPr>
              <w:jc w:val="center"/>
            </w:pPr>
            <w:r>
              <w:rPr>
                <w:sz w:val="16"/>
                <w:szCs w:val="16"/>
              </w:rPr>
              <w:t xml:space="preserve">108 918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40 621 Kč</w:t>
            </w:r>
          </w:p>
        </w:tc>
        <w:tc>
          <w:tcPr>
            <w:tcW w:w="1000" w:type="dxa"/>
          </w:tcPr>
          <w:p>
            <w:pPr>
              <w:jc w:val="center"/>
            </w:pPr>
            <w:r>
              <w:rPr/>
              <w:t xml:space="preserve">49 079 Kč</w:t>
            </w:r>
          </w:p>
        </w:tc>
        <w:tc>
          <w:tcPr>
            <w:tcW w:w="1000" w:type="dxa"/>
          </w:tcPr>
          <w:p>
            <w:pPr>
              <w:jc w:val="center"/>
            </w:pPr>
            <w:r>
              <w:rPr/>
              <w:t xml:space="preserve">74 483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46 895 Kč</w:t>
            </w:r>
          </w:p>
        </w:tc>
        <w:tc>
          <w:tcPr>
            <w:tcW w:w="1000" w:type="dxa"/>
          </w:tcPr>
          <w:p>
            <w:pPr>
              <w:jc w:val="center"/>
            </w:pPr>
            <w:r>
              <w:rPr/>
              <w:t xml:space="preserve">61 176 Kč</w:t>
            </w:r>
          </w:p>
        </w:tc>
        <w:tc>
          <w:tcPr>
            <w:tcW w:w="1000" w:type="dxa"/>
          </w:tcPr>
          <w:p>
            <w:pPr>
              <w:jc w:val="center"/>
            </w:pPr>
            <w:r>
              <w:rPr>
                <w:sz w:val="16"/>
                <w:szCs w:val="16"/>
              </w:rPr>
              <w:t xml:space="preserve">105 021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47 986 Kč</w:t>
            </w:r>
          </w:p>
        </w:tc>
        <w:tc>
          <w:tcPr>
            <w:tcW w:w="1000" w:type="dxa"/>
          </w:tcPr>
          <w:p>
            <w:pPr>
              <w:jc w:val="center"/>
            </w:pPr>
            <w:r>
              <w:rPr/>
              <w:t xml:space="preserve">61 234 Kč</w:t>
            </w:r>
          </w:p>
        </w:tc>
        <w:tc>
          <w:tcPr>
            <w:tcW w:w="1000" w:type="dxa"/>
          </w:tcPr>
          <w:p>
            <w:pPr>
              <w:jc w:val="center"/>
            </w:pPr>
            <w:r>
              <w:rPr/>
              <w:t xml:space="preserve">91 572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33 811 Kč</w:t>
            </w:r>
          </w:p>
        </w:tc>
        <w:tc>
          <w:tcPr>
            <w:tcW w:w="1000" w:type="dxa"/>
          </w:tcPr>
          <w:p>
            <w:pPr>
              <w:jc w:val="center"/>
            </w:pPr>
            <w:r>
              <w:rPr/>
              <w:t xml:space="preserve">57 599 Kč</w:t>
            </w:r>
          </w:p>
        </w:tc>
        <w:tc>
          <w:tcPr>
            <w:tcW w:w="1000" w:type="dxa"/>
          </w:tcPr>
          <w:p>
            <w:pPr>
              <w:jc w:val="center"/>
            </w:pPr>
            <w:r>
              <w:rPr/>
              <w:t xml:space="preserve">92 927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35 454 Kč</w:t>
            </w:r>
          </w:p>
        </w:tc>
        <w:tc>
          <w:tcPr>
            <w:tcW w:w="1000" w:type="dxa"/>
          </w:tcPr>
          <w:p>
            <w:pPr>
              <w:jc w:val="center"/>
            </w:pPr>
            <w:r>
              <w:rPr/>
              <w:t xml:space="preserve">55 386 Kč</w:t>
            </w:r>
          </w:p>
        </w:tc>
        <w:tc>
          <w:tcPr>
            <w:tcW w:w="1000" w:type="dxa"/>
          </w:tcPr>
          <w:p>
            <w:pPr>
              <w:jc w:val="center"/>
            </w:pPr>
            <w:r>
              <w:rPr/>
              <w:t xml:space="preserve">92 508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2142</w:t>
            </w:r>
          </w:p>
        </w:tc>
        <w:tc>
          <w:tcPr>
            <w:tcW w:w="2000" w:type="dxa"/>
          </w:tcPr>
          <w:p>
            <w:pPr/>
            <w:r>
              <w:rPr/>
              <w:t xml:space="preserve">Stavební inženýři</w:t>
            </w:r>
          </w:p>
        </w:tc>
        <w:tc>
          <w:tcPr>
            <w:tcW w:w="1000" w:type="dxa"/>
          </w:tcPr>
          <w:p>
            <w:pPr>
              <w:jc w:val="center"/>
            </w:pPr>
            <w:r>
              <w:rPr/>
              <w:t xml:space="preserve">50 266 Kč</w:t>
            </w:r>
          </w:p>
        </w:tc>
        <w:tc>
          <w:tcPr>
            <w:tcW w:w="1000" w:type="dxa"/>
          </w:tcPr>
          <w:p>
            <w:pPr>
              <w:jc w:val="center"/>
            </w:pPr>
            <w:r>
              <w:rPr/>
              <w:t xml:space="preserve">59 299 Kč</w:t>
            </w:r>
          </w:p>
        </w:tc>
      </w:tr>
      <w:tr>
        <w:trPr/>
        <w:tc>
          <w:tcPr>
            <w:tcW w:w="1000" w:type="dxa"/>
          </w:tcPr>
          <w:p>
            <w:pPr>
              <w:jc w:val="center"/>
            </w:pPr>
            <w:r>
              <w:rPr/>
              <w:t xml:space="preserve">21427</w:t>
            </w:r>
          </w:p>
        </w:tc>
        <w:tc>
          <w:tcPr>
            <w:tcW w:w="2000" w:type="dxa"/>
          </w:tcPr>
          <w:p>
            <w:pPr/>
            <w:r>
              <w:rPr/>
              <w:t xml:space="preserve">Stavební inženýři výstavby budov</w:t>
            </w:r>
          </w:p>
        </w:tc>
        <w:tc>
          <w:tcPr>
            <w:tcW w:w="1000" w:type="dxa"/>
          </w:tcPr>
          <w:p>
            <w:pPr>
              <w:jc w:val="center"/>
            </w:pPr>
            <w:r>
              <w:rPr/>
              <w:t xml:space="preserve">-</w:t>
            </w:r>
          </w:p>
        </w:tc>
        <w:tc>
          <w:tcPr>
            <w:tcW w:w="1000" w:type="dxa"/>
          </w:tcPr>
          <w:p>
            <w:pPr>
              <w:jc w:val="center"/>
            </w:pPr>
            <w:r>
              <w:rPr/>
              <w:t xml:space="preserve">68 372 Kč</w:t>
            </w:r>
          </w:p>
        </w:tc>
      </w:tr>
      <w:tr>
        <w:trPr/>
        <w:tc>
          <w:tcPr>
            <w:tcW w:w="1000" w:type="dxa"/>
          </w:tcPr>
          <w:p>
            <w:pPr>
              <w:jc w:val="center"/>
            </w:pPr>
            <w:r>
              <w:rPr/>
              <w:t xml:space="preserve">21429</w:t>
            </w:r>
          </w:p>
        </w:tc>
        <w:tc>
          <w:tcPr>
            <w:tcW w:w="2000" w:type="dxa"/>
          </w:tcPr>
          <w:p>
            <w:pPr/>
            <w:r>
              <w:rPr/>
              <w:t xml:space="preserve">Ostatní stavební inženýři</w:t>
            </w:r>
          </w:p>
        </w:tc>
        <w:tc>
          <w:tcPr>
            <w:tcW w:w="1000" w:type="dxa"/>
          </w:tcPr>
          <w:p>
            <w:pPr>
              <w:jc w:val="center"/>
            </w:pPr>
            <w:r>
              <w:rPr/>
              <w:t xml:space="preserve">-</w:t>
            </w:r>
          </w:p>
        </w:tc>
        <w:tc>
          <w:tcPr>
            <w:tcW w:w="1000" w:type="dxa"/>
          </w:tcPr>
          <w:p>
            <w:pPr>
              <w:jc w:val="center"/>
            </w:pPr>
            <w:r>
              <w:rPr/>
              <w:t xml:space="preserve">52 642 Kč</w:t>
            </w:r>
          </w:p>
        </w:tc>
      </w:tr>
    </w:tbl>
    <w:p/>
    <w:p>
      <w:pPr>
        <w:pStyle w:val="Heading2"/>
      </w:pPr>
      <w:bookmarkStart w:id="7" w:name="_Toc7"/>
      <w:r>
        <w:t>Příklady činností</w:t>
      </w:r>
      <w:bookmarkEnd w:id="7"/>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Koordinace a usměrňování výkonu územní státní správy úseku územního plánování a stavebního řádu včetně posuzovací, metodické a konzultační činnosti v působnosti kraje.</w:t>
            </w:r>
          </w:p>
        </w:tc>
        <w:tc>
          <w:tcPr>
            <w:tcW w:w="2000" w:type="dxa"/>
          </w:tcPr>
          <w:p>
            <w:pPr>
              <w:jc w:val="center"/>
            </w:pPr>
            <w:r>
              <w:rPr/>
              <w:t xml:space="preserve">12</w:t>
            </w:r>
          </w:p>
        </w:tc>
      </w:tr>
      <w:tr>
        <w:trPr/>
        <w:tc>
          <w:tcPr>
            <w:tcW w:w="7000" w:type="dxa"/>
          </w:tcPr>
          <w:p>
            <w:pPr/>
            <w:r>
              <w:rPr/>
              <w:t xml:space="preserve">Koordinace a usměrňování výkonu státní správy úseku územního plánování a stavebního řádu a vodního hospodářství.</w:t>
            </w:r>
          </w:p>
        </w:tc>
        <w:tc>
          <w:tcPr>
            <w:tcW w:w="2000" w:type="dxa"/>
          </w:tcPr>
          <w:p>
            <w:pPr>
              <w:jc w:val="center"/>
            </w:pPr>
            <w:r>
              <w:rPr/>
              <w:t xml:space="preserve">11</w:t>
            </w:r>
          </w:p>
        </w:tc>
      </w:tr>
      <w:tr>
        <w:trPr/>
        <w:tc>
          <w:tcPr>
            <w:tcW w:w="7000" w:type="dxa"/>
          </w:tcPr>
          <w:p>
            <w:pPr/>
            <w:r>
              <w:rPr/>
              <w:t xml:space="preserve">Konzultační a poradenská činnost na úseku  územního plánování a stavebního řádu.</w:t>
            </w:r>
          </w:p>
        </w:tc>
        <w:tc>
          <w:tcPr>
            <w:tcW w:w="2000" w:type="dxa"/>
          </w:tcPr>
          <w:p>
            <w:pPr>
              <w:jc w:val="center"/>
            </w:pPr>
            <w:r>
              <w:rPr/>
              <w:t xml:space="preserve">10</w:t>
            </w:r>
          </w:p>
        </w:tc>
      </w:tr>
      <w:tr>
        <w:trPr/>
        <w:tc>
          <w:tcPr>
            <w:tcW w:w="7000" w:type="dxa"/>
          </w:tcPr>
          <w:p>
            <w:pPr/>
            <w:r>
              <w:rPr/>
              <w:t xml:space="preserve">Koordinace a usměrňování výkonu státní správy stavebními úřady na úseku územního plánování a stavebního řádu včetně výkonu státního stavebního dohledu.</w:t>
            </w:r>
          </w:p>
        </w:tc>
        <w:tc>
          <w:tcPr>
            <w:tcW w:w="2000" w:type="dxa"/>
          </w:tcPr>
          <w:p>
            <w:pPr>
              <w:jc w:val="center"/>
            </w:pPr>
            <w:r>
              <w:rPr/>
              <w:t xml:space="preserve">10</w:t>
            </w:r>
          </w:p>
        </w:tc>
      </w:tr>
      <w:tr>
        <w:trPr/>
        <w:tc>
          <w:tcPr>
            <w:tcW w:w="7000" w:type="dxa"/>
          </w:tcPr>
          <w:p>
            <w:pPr/>
            <w:r>
              <w:rPr/>
              <w:t xml:space="preserve">Zajišťování odborných agend na úseku územního plánování,  stavebního řádu a ve věcech vodního hospodářství například ve věcech umístění  povolení, kolaudace, odstranění stavby, sankcí a vyvlastnění, včetně poradenské a konzultační činnosti.</w:t>
            </w:r>
          </w:p>
        </w:tc>
        <w:tc>
          <w:tcPr>
            <w:tcW w:w="2000" w:type="dxa"/>
          </w:tcPr>
          <w:p>
            <w:pPr>
              <w:jc w:val="center"/>
            </w:pPr>
            <w:r>
              <w:rPr/>
              <w:t xml:space="preserve">9</w:t>
            </w:r>
          </w:p>
        </w:tc>
      </w:tr>
      <w:tr>
        <w:trPr/>
        <w:tc>
          <w:tcPr>
            <w:tcW w:w="7000" w:type="dxa"/>
          </w:tcPr>
          <w:p>
            <w:pPr/>
            <w:r>
              <w:rPr/>
              <w:t xml:space="preserve">Zajišťování dílčích odborných agend na úseku územního plánování,  stavebního řádu a ve věcech například ve věcech pořizování  územně plánovací dokumentace, územně plánovacích podkladů pro obce, umístění, povolení, kolaudace, odstranění stavby, sankcí a vyvlastnění.</w:t>
            </w:r>
          </w:p>
        </w:tc>
        <w:tc>
          <w:tcPr>
            <w:tcW w:w="2000" w:type="dxa"/>
          </w:tcPr>
          <w:p>
            <w:pPr>
              <w:jc w:val="center"/>
            </w:pPr>
            <w:r>
              <w:rPr/>
              <w:t xml:space="preserve">8</w:t>
            </w:r>
          </w:p>
        </w:tc>
      </w:tr>
    </w:tbl>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pozemní stavby a architektura</w:t>
            </w:r>
          </w:p>
        </w:tc>
        <w:tc>
          <w:tcPr>
            <w:tcW w:w="2000" w:type="dxa"/>
          </w:tcPr>
          <w:p>
            <w:pPr>
              <w:jc w:val="center"/>
            </w:pPr>
            <w:r>
              <w:rPr/>
              <w:t xml:space="preserve">3608T</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Magisterský studijní program v oboru stavební inženýrství</w:t>
            </w:r>
          </w:p>
        </w:tc>
        <w:tc>
          <w:tcPr>
            <w:tcW w:w="2000" w:type="dxa"/>
          </w:tcPr>
          <w:p>
            <w:pPr>
              <w:jc w:val="center"/>
            </w:pPr>
            <w:r>
              <w:rPr/>
              <w:t xml:space="preserve">3607T</w:t>
            </w:r>
          </w:p>
        </w:tc>
      </w:tr>
      <w:tr>
        <w:trPr/>
        <w:tc>
          <w:tcPr>
            <w:tcW w:w="2000" w:type="dxa"/>
          </w:tcPr>
          <w:p>
            <w:pPr>
              <w:jc w:val="center"/>
            </w:pPr>
            <w:r>
              <w:rPr/>
              <w:t xml:space="preserve">KKOV</w:t>
            </w:r>
          </w:p>
        </w:tc>
        <w:tc>
          <w:tcPr>
            <w:tcW w:w="5000" w:type="dxa"/>
          </w:tcPr>
          <w:p>
            <w:pPr/>
            <w:r>
              <w:rPr/>
              <w:t xml:space="preserve">Magisterský studijní program v oboru architektura a urbanismus</w:t>
            </w:r>
          </w:p>
        </w:tc>
        <w:tc>
          <w:tcPr>
            <w:tcW w:w="2000" w:type="dxa"/>
          </w:tcPr>
          <w:p>
            <w:pPr>
              <w:jc w:val="center"/>
            </w:pPr>
            <w:r>
              <w:rPr/>
              <w:t xml:space="preserve">3501T</w:t>
            </w:r>
          </w:p>
        </w:tc>
      </w:tr>
      <w:tr>
        <w:trPr/>
        <w:tc>
          <w:tcPr>
            <w:tcW w:w="2000" w:type="dxa"/>
          </w:tcPr>
          <w:p>
            <w:pPr>
              <w:jc w:val="center"/>
            </w:pPr>
            <w:r>
              <w:rPr/>
              <w:t xml:space="preserve">KKOV</w:t>
            </w:r>
          </w:p>
        </w:tc>
        <w:tc>
          <w:tcPr>
            <w:tcW w:w="5000" w:type="dxa"/>
          </w:tcPr>
          <w:p>
            <w:pPr/>
            <w:r>
              <w:rPr/>
              <w:t xml:space="preserve">Magisterský studijní program v oboru geodézie a kartografie</w:t>
            </w:r>
          </w:p>
        </w:tc>
        <w:tc>
          <w:tcPr>
            <w:tcW w:w="2000" w:type="dxa"/>
          </w:tcPr>
          <w:p>
            <w:pPr>
              <w:jc w:val="center"/>
            </w:pPr>
            <w:r>
              <w:rPr/>
              <w:t xml:space="preserve">3646T</w:t>
            </w:r>
          </w:p>
        </w:tc>
      </w:tr>
      <w:tr>
        <w:trPr/>
        <w:tc>
          <w:tcPr>
            <w:tcW w:w="2000" w:type="dxa"/>
          </w:tcPr>
          <w:p>
            <w:pPr>
              <w:jc w:val="center"/>
            </w:pPr>
            <w:r>
              <w:rPr/>
              <w:t xml:space="preserve">KKOV</w:t>
            </w:r>
          </w:p>
        </w:tc>
        <w:tc>
          <w:tcPr>
            <w:tcW w:w="5000" w:type="dxa"/>
          </w:tcPr>
          <w:p>
            <w:pPr/>
            <w:r>
              <w:rPr/>
              <w:t xml:space="preserve">Magisterský studijní program ve skupině oborů stavebnictví, geodézie a kartografie</w:t>
            </w:r>
          </w:p>
        </w:tc>
        <w:tc>
          <w:tcPr>
            <w:tcW w:w="2000" w:type="dxa"/>
          </w:tcPr>
          <w:p>
            <w:pPr>
              <w:jc w:val="center"/>
            </w:pPr>
            <w:r>
              <w:rPr/>
              <w:t xml:space="preserve">36xxT</w:t>
            </w:r>
          </w:p>
        </w:tc>
      </w:tr>
      <w:tr>
        <w:trPr/>
        <w:tc>
          <w:tcPr>
            <w:tcW w:w="2000" w:type="dxa"/>
          </w:tcPr>
          <w:p>
            <w:pPr>
              <w:jc w:val="center"/>
            </w:pPr>
            <w:r>
              <w:rPr/>
              <w:t xml:space="preserve">KKOV</w:t>
            </w:r>
          </w:p>
        </w:tc>
        <w:tc>
          <w:tcPr>
            <w:tcW w:w="5000" w:type="dxa"/>
          </w:tcPr>
          <w:p>
            <w:pPr/>
            <w:r>
              <w:rPr/>
              <w:t xml:space="preserve">Magisterský studijní program v oboru zahradní a krajinářská architektura</w:t>
            </w:r>
          </w:p>
        </w:tc>
        <w:tc>
          <w:tcPr>
            <w:tcW w:w="2000" w:type="dxa"/>
          </w:tcPr>
          <w:p>
            <w:pPr>
              <w:jc w:val="center"/>
            </w:pPr>
            <w:r>
              <w:rPr/>
              <w:t xml:space="preserve">4109T</w:t>
            </w:r>
          </w:p>
        </w:tc>
      </w:tr>
      <w:tr>
        <w:trPr/>
        <w:tc>
          <w:tcPr>
            <w:tcW w:w="2000" w:type="dxa"/>
          </w:tcPr>
          <w:p>
            <w:pPr>
              <w:jc w:val="center"/>
            </w:pPr>
            <w:r>
              <w:rPr/>
              <w:t xml:space="preserve">KKOV</w:t>
            </w:r>
          </w:p>
        </w:tc>
        <w:tc>
          <w:tcPr>
            <w:tcW w:w="5000" w:type="dxa"/>
          </w:tcPr>
          <w:p>
            <w:pPr/>
            <w:r>
              <w:rPr/>
              <w:t xml:space="preserve">Bakalářský studijní program ve skupině oborů stavebnictví, geodézie a kartografie</w:t>
            </w:r>
          </w:p>
        </w:tc>
        <w:tc>
          <w:tcPr>
            <w:tcW w:w="2000" w:type="dxa"/>
          </w:tcPr>
          <w:p>
            <w:pPr>
              <w:jc w:val="center"/>
            </w:pPr>
            <w:r>
              <w:rPr/>
              <w:t xml:space="preserve">36xxR</w:t>
            </w:r>
          </w:p>
        </w:tc>
      </w:tr>
      <w:tr>
        <w:trPr/>
        <w:tc>
          <w:tcPr>
            <w:tcW w:w="2000" w:type="dxa"/>
          </w:tcPr>
          <w:p>
            <w:pPr>
              <w:jc w:val="center"/>
            </w:pPr>
            <w:r>
              <w:rPr/>
              <w:t xml:space="preserve">KKOV</w:t>
            </w:r>
          </w:p>
        </w:tc>
        <w:tc>
          <w:tcPr>
            <w:tcW w:w="5000" w:type="dxa"/>
          </w:tcPr>
          <w:p>
            <w:pPr/>
            <w:r>
              <w:rPr/>
              <w:t xml:space="preserve">Magisterský studijní program v oboru hospodářská politika a správa</w:t>
            </w:r>
          </w:p>
        </w:tc>
        <w:tc>
          <w:tcPr>
            <w:tcW w:w="2000" w:type="dxa"/>
          </w:tcPr>
          <w:p>
            <w:pPr>
              <w:jc w:val="center"/>
            </w:pPr>
            <w:r>
              <w:rPr/>
              <w:t xml:space="preserve">6202T</w:t>
            </w:r>
          </w:p>
        </w:tc>
      </w:tr>
      <w:tr>
        <w:trPr/>
        <w:tc>
          <w:tcPr>
            <w:tcW w:w="2000" w:type="dxa"/>
          </w:tcPr>
          <w:p>
            <w:pPr>
              <w:jc w:val="center"/>
            </w:pPr>
            <w:r>
              <w:rPr/>
              <w:t xml:space="preserve">KKOV</w:t>
            </w:r>
          </w:p>
        </w:tc>
        <w:tc>
          <w:tcPr>
            <w:tcW w:w="5000" w:type="dxa"/>
          </w:tcPr>
          <w:p>
            <w:pPr/>
            <w:r>
              <w:rPr/>
              <w:t xml:space="preserve">Bakalářský studijní program ve skupině oborů právo, právní a veřejnosprávní činnost</w:t>
            </w:r>
          </w:p>
        </w:tc>
        <w:tc>
          <w:tcPr>
            <w:tcW w:w="2000" w:type="dxa"/>
          </w:tcPr>
          <w:p>
            <w:pPr>
              <w:jc w:val="center"/>
            </w:pPr>
            <w:r>
              <w:rPr/>
              <w:t xml:space="preserve">68xxR</w:t>
            </w:r>
          </w:p>
        </w:tc>
      </w:tr>
      <w:tr>
        <w:trPr/>
        <w:tc>
          <w:tcPr>
            <w:tcW w:w="2000" w:type="dxa"/>
          </w:tcPr>
          <w:p>
            <w:pPr>
              <w:jc w:val="center"/>
            </w:pPr>
            <w:r>
              <w:rPr/>
              <w:t xml:space="preserve">KKOV</w:t>
            </w:r>
          </w:p>
        </w:tc>
        <w:tc>
          <w:tcPr>
            <w:tcW w:w="5000" w:type="dxa"/>
          </w:tcPr>
          <w:p>
            <w:pPr/>
            <w:r>
              <w:rPr/>
              <w:t xml:space="preserve">Magisterský studijní program v oboru sociologie</w:t>
            </w:r>
          </w:p>
        </w:tc>
        <w:tc>
          <w:tcPr>
            <w:tcW w:w="2000" w:type="dxa"/>
          </w:tcPr>
          <w:p>
            <w:pPr>
              <w:jc w:val="center"/>
            </w:pPr>
            <w:r>
              <w:rPr/>
              <w:t xml:space="preserve">6703T</w:t>
            </w:r>
          </w:p>
        </w:tc>
      </w:tr>
      <w:tr>
        <w:trPr/>
        <w:tc>
          <w:tcPr>
            <w:tcW w:w="2000" w:type="dxa"/>
          </w:tcPr>
          <w:p>
            <w:pPr>
              <w:jc w:val="center"/>
            </w:pPr>
            <w:r>
              <w:rPr/>
              <w:t xml:space="preserve">KKOV</w:t>
            </w:r>
          </w:p>
        </w:tc>
        <w:tc>
          <w:tcPr>
            <w:tcW w:w="5000" w:type="dxa"/>
          </w:tcPr>
          <w:p>
            <w:pPr/>
            <w:r>
              <w:rPr/>
              <w:t xml:space="preserve">Magisterský studijní program v oboru demografie</w:t>
            </w:r>
          </w:p>
        </w:tc>
        <w:tc>
          <w:tcPr>
            <w:tcW w:w="2000" w:type="dxa"/>
          </w:tcPr>
          <w:p>
            <w:pPr>
              <w:jc w:val="center"/>
            </w:pPr>
            <w:r>
              <w:rPr/>
              <w:t xml:space="preserve">1303T</w:t>
            </w:r>
          </w:p>
        </w:tc>
      </w:tr>
    </w:tbl>
    <w:p>
      <w:pPr>
        <w:pStyle w:val="Heading3"/>
      </w:pPr>
      <w:bookmarkStart w:id="13" w:name="_Toc13"/>
      <w:r>
        <w:t>Legislativní požadavky</w:t>
      </w:r>
      <w:bookmarkEnd w:id="13"/>
    </w:p>
    <w:p>
      <w:pPr>
        <w:numPr>
          <w:ilvl w:val="0"/>
          <w:numId w:val="5"/>
        </w:numPr>
      </w:pPr>
      <w:r>
        <w:rPr/>
        <w:t xml:space="preserve">povinné - Činnosti úředníků samosprávných celků - zvláštní odborná způsobilost a průběžné vzdělávání podle zákona č. 312/2002 Sb., o úřednících uzemních samosprávných celků a o změně některých zákonů a podle vyhlášky č. 512/2002 Sb., o zvláštní odborné způsobilosti úředníků územních samosprávných celků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g11.Z.2891</w:t>
            </w:r>
          </w:p>
        </w:tc>
        <w:tc>
          <w:tcPr>
            <w:tcW w:w="3000" w:type="dxa"/>
          </w:tcPr>
          <w:p>
            <w:pPr/>
            <w:r>
              <w:rPr/>
              <w:t xml:space="preserve">Koordinace činností při správním územním a stavebním řízení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i42.D.8031</w:t>
            </w:r>
          </w:p>
        </w:tc>
        <w:tc>
          <w:tcPr>
            <w:tcW w:w="3000" w:type="dxa"/>
          </w:tcPr>
          <w:p>
            <w:pPr/>
            <w:r>
              <w:rPr/>
              <w:t xml:space="preserve">Sledování změn legislativy, aktualizace a evidence právních předpisů</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j33.Z.2112</w:t>
            </w:r>
          </w:p>
        </w:tc>
        <w:tc>
          <w:tcPr>
            <w:tcW w:w="3000" w:type="dxa"/>
          </w:tcPr>
          <w:p>
            <w:pPr/>
            <w:r>
              <w:rPr/>
              <w:t xml:space="preserve">Koordinace spolupráce s ostatními útvary a organizačními složkami státu</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i21.D.1012</w:t>
            </w:r>
          </w:p>
        </w:tc>
        <w:tc>
          <w:tcPr>
            <w:tcW w:w="3000" w:type="dxa"/>
          </w:tcPr>
          <w:p>
            <w:pPr/>
            <w:r>
              <w:rPr/>
              <w:t xml:space="preserve">Orientace v právních předpisech</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i21.D.9011</w:t>
            </w:r>
          </w:p>
        </w:tc>
        <w:tc>
          <w:tcPr>
            <w:tcW w:w="3000" w:type="dxa"/>
          </w:tcPr>
          <w:p>
            <w:pPr/>
            <w:r>
              <w:rPr/>
              <w:t xml:space="preserve">Vypracovávání odborných informačních výstupů, popř. jiných dokladů či dokumentů na svěřeném úseku státní správy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i21.D.2001</w:t>
            </w:r>
          </w:p>
        </w:tc>
        <w:tc>
          <w:tcPr>
            <w:tcW w:w="3000" w:type="dxa"/>
          </w:tcPr>
          <w:p>
            <w:pPr/>
            <w:r>
              <w:rPr/>
              <w:t xml:space="preserve">Tvorba koncepcí a metodik ve svěřené působnosti</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g11._.0004</w:t>
            </w:r>
          </w:p>
        </w:tc>
        <w:tc>
          <w:tcPr>
            <w:tcW w:w="3000" w:type="dxa"/>
          </w:tcPr>
          <w:p>
            <w:pPr/>
            <w:r>
              <w:rPr/>
              <w:t xml:space="preserve">pravidla a postupy stavebních řízení a dalších správních procedur</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i21._.0067</w:t>
            </w:r>
          </w:p>
        </w:tc>
        <w:tc>
          <w:tcPr>
            <w:tcW w:w="3000" w:type="dxa"/>
          </w:tcPr>
          <w:p>
            <w:pPr/>
            <w:r>
              <w:rPr/>
              <w:t xml:space="preserve">státní správa v oblasti územního plánování a výstavby</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i41._.0061</w:t>
            </w:r>
          </w:p>
        </w:tc>
        <w:tc>
          <w:tcPr>
            <w:tcW w:w="3000" w:type="dxa"/>
          </w:tcPr>
          <w:p>
            <w:pPr/>
            <w:r>
              <w:rPr/>
              <w:t xml:space="preserve">právo Evropské unie</w:t>
            </w:r>
          </w:p>
        </w:tc>
        <w:tc>
          <w:tcPr>
            <w:tcW w:w="2000" w:type="dxa"/>
          </w:tcPr>
          <w:p>
            <w:pPr>
              <w:jc w:val="center"/>
            </w:pPr>
            <w:r>
              <w:rPr/>
              <w:t xml:space="preserve">7</w:t>
            </w:r>
          </w:p>
        </w:tc>
        <w:tc>
          <w:tcPr>
            <w:tcW w:w="2000" w:type="dxa"/>
          </w:tcPr>
          <w:p>
            <w:pPr>
              <w:jc w:val="center"/>
            </w:pPr>
            <w:r>
              <w:rPr/>
              <w:t xml:space="preserve">Výhodné</w:t>
            </w:r>
          </w:p>
        </w:tc>
      </w:tr>
      <w:tr>
        <w:trPr/>
        <w:tc>
          <w:tcPr>
            <w:tcW w:w="2000" w:type="dxa"/>
          </w:tcPr>
          <w:p>
            <w:pPr>
              <w:jc w:val="center"/>
            </w:pPr>
            <w:r>
              <w:rPr/>
              <w:t xml:space="preserve">i21._.0051</w:t>
            </w:r>
          </w:p>
        </w:tc>
        <w:tc>
          <w:tcPr>
            <w:tcW w:w="3000" w:type="dxa"/>
          </w:tcPr>
          <w:p>
            <w:pPr/>
            <w:r>
              <w:rPr/>
              <w:t xml:space="preserve">státní správa a samospráva na centrální úrovni</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i41._.0023</w:t>
            </w:r>
          </w:p>
        </w:tc>
        <w:tc>
          <w:tcPr>
            <w:tcW w:w="3000" w:type="dxa"/>
          </w:tcPr>
          <w:p>
            <w:pPr/>
            <w:r>
              <w:rPr/>
              <w:t xml:space="preserve">legislativa ve stavebnictví</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i21._.0091</w:t>
            </w:r>
          </w:p>
        </w:tc>
        <w:tc>
          <w:tcPr>
            <w:tcW w:w="3000" w:type="dxa"/>
          </w:tcPr>
          <w:p>
            <w:pPr/>
            <w:r>
              <w:rPr/>
              <w:t xml:space="preserve">státní správa a samospráva na krajské a obecní úrovni</w:t>
            </w:r>
          </w:p>
        </w:tc>
        <w:tc>
          <w:tcPr>
            <w:tcW w:w="2000" w:type="dxa"/>
          </w:tcPr>
          <w:p>
            <w:pPr>
              <w:jc w:val="center"/>
            </w:pPr>
            <w:r>
              <w:rPr/>
              <w:t xml:space="preserve">7</w:t>
            </w:r>
          </w:p>
        </w:tc>
        <w:tc>
          <w:tcPr>
            <w:tcW w:w="2000" w:type="dxa"/>
          </w:tcPr>
          <w:p>
            <w:pPr>
              <w:jc w:val="center"/>
            </w:pPr>
            <w:r>
              <w:rPr/>
              <w:t xml:space="preserve">Výhodné</w:t>
            </w:r>
          </w:p>
        </w:tc>
      </w:tr>
      <w:tr>
        <w:trPr/>
        <w:tc>
          <w:tcPr>
            <w:tcW w:w="2000" w:type="dxa"/>
          </w:tcPr>
          <w:p>
            <w:pPr>
              <w:jc w:val="center"/>
            </w:pPr>
            <w:r>
              <w:rPr/>
              <w:t xml:space="preserve">j22._.0092</w:t>
            </w:r>
          </w:p>
        </w:tc>
        <w:tc>
          <w:tcPr>
            <w:tcW w:w="3000" w:type="dxa"/>
          </w:tcPr>
          <w:p>
            <w:pPr/>
            <w:r>
              <w:rPr/>
              <w:t xml:space="preserve">geografický informační systém (GIS)</w:t>
            </w:r>
          </w:p>
        </w:tc>
        <w:tc>
          <w:tcPr>
            <w:tcW w:w="2000" w:type="dxa"/>
          </w:tcPr>
          <w:p>
            <w:pPr>
              <w:jc w:val="center"/>
            </w:pPr>
            <w:r>
              <w:rPr/>
              <w:t xml:space="preserve">7</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3</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5</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4</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5</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5</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5</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5</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5B3B3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Referent specialista povolování staveb</dc:title>
  <dc:description>Referent specialista povolování staveb vykonává na úrovni krajských úřadů, úřadů obcí s rozšířenou působností a stavebních úřadů činnosti požadované stavebním zákonem, s nutnou znalostí problematiky územního rozhodování a stavebního řádu, správního práva a územního plánování.</dc:description>
  <dc:subject/>
  <cp:keywords/>
  <cp:category>Specializace</cp:category>
  <cp:lastModifiedBy/>
  <dcterms:created xsi:type="dcterms:W3CDTF">2017-11-22T09:24:36+01:00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