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bankovních strategií</w:t>
      </w:r>
      <w:bookmarkEnd w:id="1"/>
    </w:p>
    <w:p>
      <w:pPr/>
      <w:r>
        <w:rPr/>
        <w:t xml:space="preserve">Specialista bankovních strategií zpracovává koncepci strategie a politiky banky v oblasti měnové a devizové včetně nástrojů k její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bankovních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strategie a politiky banky.</w:t>
      </w:r>
    </w:p>
    <w:p>
      <w:pPr>
        <w:numPr>
          <w:ilvl w:val="0"/>
          <w:numId w:val="5"/>
        </w:numPr>
      </w:pPr>
      <w:r>
        <w:rPr/>
        <w:t xml:space="preserve">Formulování závěrů bankovní politiky a vytváření prognóz pro řízení aktiv a pasiv.</w:t>
      </w:r>
    </w:p>
    <w:p>
      <w:pPr>
        <w:numPr>
          <w:ilvl w:val="0"/>
          <w:numId w:val="5"/>
        </w:numPr>
      </w:pPr>
      <w:r>
        <w:rPr/>
        <w:t xml:space="preserve">Vyhodnocování úspěšnosti banky ve všech oblastech působení.</w:t>
      </w:r>
    </w:p>
    <w:p>
      <w:pPr>
        <w:numPr>
          <w:ilvl w:val="0"/>
          <w:numId w:val="5"/>
        </w:numPr>
      </w:pPr>
      <w:r>
        <w:rPr/>
        <w:t xml:space="preserve">Poradenství v zásadních činnostech banky a v oblasti jejího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strategie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6201V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vrcholové metodiky pro uzavírání úvěrových a záručních obchodů v tuzemské měně a devizové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nastavování parametrů pro řízení celobankovního systému v souladu s potřebami a politikou banky včetně tvorby a definování parametrů pro jednotlivé bankovní produkty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i13.D.2303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koncepce, strategie a politiky kapitálového a finančního trhu a zásad emisní a kurzové politiky a politiky měnové a devizové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návrhů, doporučení či stanovisek k záležitostem zásadního významu pro koncepční a strategické rozhodování vedení peněžního ústavu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i13.D.2305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plánu kapitálových obchodů na úseku investičního bankovnictví a prognóz vývoje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vývoje aktiv a pasiv pro rozhodovací činnosti při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úspěšnosti banky ve všech oblastech působení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analýz finančního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zásadních činností banky a v oblasti jejího řízení na vrcholové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bankovní evidence a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66E6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bankovních strategií</dc:title>
  <dc:description>Specialista bankovních strategií zpracovává koncepci strategie a politiky banky v oblasti měnové a devizové včetně nástrojů k její realizaci.</dc:description>
  <dc:subject/>
  <cp:keywords/>
  <cp:category>Specializace</cp:category>
  <cp:lastModifiedBy/>
  <dcterms:created xsi:type="dcterms:W3CDTF">2017-11-22T09:23:10+01:00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