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</w:t>
      </w:r>
      <w:bookmarkEnd w:id="1"/>
    </w:p>
    <w:p>
      <w:pPr/>
      <w:r>
        <w:rPr/>
        <w:t xml:space="preserve">Hasič provádí hasební a záchranné práce při všech druzích zásahů s využitím získaných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asistence při akcích, kterých se zúčastňuje větší počet osob (např. při kulturních, sportovních a společenských akcích)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DF93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</dc:title>
  <dc:description>Hasič provádí hasební a záchranné práce při všech druzích zásahů s využitím získaných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2017-11-22T09:22:41+01:00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