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nožířských výrobků</w:t>
      </w:r>
      <w:bookmarkEnd w:id="1"/>
    </w:p>
    <w:p>
      <w:pPr/>
      <w:r>
        <w:rPr/>
        <w:t xml:space="preserve">Brušič nožířských výrobků provádí ruční ostření nožířských výrobků spolu s prováděním funkčních zkoušek.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nožířských výrobků.</w:t>
      </w:r>
    </w:p>
    <w:p>
      <w:pPr>
        <w:numPr>
          <w:ilvl w:val="0"/>
          <w:numId w:val="5"/>
        </w:numPr>
      </w:pPr>
      <w:r>
        <w:rPr/>
        <w:t xml:space="preserve">Obtahování kuchyňských i speciálních nožů, nůžek, sekyr, masomlýnků.</w:t>
      </w:r>
    </w:p>
    <w:p>
      <w:pPr>
        <w:numPr>
          <w:ilvl w:val="0"/>
          <w:numId w:val="5"/>
        </w:numPr>
      </w:pPr>
      <w:r>
        <w:rPr/>
        <w:t xml:space="preserve">Provádění funkčních zkoušek naostřených nožířských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72241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nožířských výrobků (23-013-E)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028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nožířských výrobků</dc:title>
  <dc:description>Brušič nožířských výrobků provádí ruční ostření nožířských výrobků spolu s prováděním funkčních zkoušek.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