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Specialista úvěrových rizik</w:t>
      </w:r>
      <w:bookmarkEnd w:id="1"/>
    </w:p>
    <w:p>
      <w:pPr/>
      <w:r>
        <w:rPr/>
        <w:t xml:space="preserve">Specialista úvěrových rizik vyhodnocuje úvěrové riziko jednotlivých obchodních případů, sleduje ukazatele úvěrové likvidity a zajišťuje prosazování metodiky řízení úvěrové angažovanosti. V rámci svěřené oblasti řídí úvěrové riziko a navrhuje opatření k odstranění nežádoucího stavu a dosažení optimálních výsledků v rámci banky a/či ve vztahu ke konkrétnímu obchodnímu případu.</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Risk Manager, Odborný pracovník úvěrových rizik, Risk specialista</w:t>
            </w:r>
          </w:p>
        </w:tc>
      </w:tr>
      <w:tr>
        <w:trPr/>
        <w:tc>
          <w:tcPr/>
          <w:p>
            <w:pPr/>
            <w:r>
              <w:rPr>
                <w:b w:val="1"/>
                <w:bCs w:val="1"/>
              </w:rPr>
              <w:t xml:space="preserve">Nadřízené povolání:</w:t>
            </w:r>
          </w:p>
        </w:tc>
        <w:tc>
          <w:tcPr/>
          <w:p>
            <w:pPr/>
            <w:r>
              <w:rPr/>
              <w:t xml:space="preserve">Bankovní specialista</w:t>
            </w:r>
          </w:p>
        </w:tc>
      </w:tr>
      <w:tr>
        <w:trPr/>
        <w:tc>
          <w:tcPr/>
          <w:p>
            <w:pPr/>
            <w:r>
              <w:rPr>
                <w:b w:val="1"/>
                <w:bCs w:val="1"/>
              </w:rPr>
              <w:t xml:space="preserve">Příbuzné specializace:</w:t>
            </w:r>
          </w:p>
        </w:tc>
        <w:tc>
          <w:tcPr/>
          <w:p>
            <w:pPr/>
            <w:r>
              <w:rPr/>
              <w:t xml:space="preserve">Specialista rozvoje bankovních obchodů, Specialista kapitálových obchodů, Dealer, Specialista analýzy finančního trhu, Specialista úvěrových rizik, Specialista bankovních strategií, Makléř, Specialista devizových obchodů, Specialista systému platebních karet, Specialista metodik bankovních hotovostních operací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Zpracování finančních a nefinančních analýz k  úvěrovým návrhům.</w:t>
      </w:r>
    </w:p>
    <w:p>
      <w:pPr>
        <w:numPr>
          <w:ilvl w:val="0"/>
          <w:numId w:val="5"/>
        </w:numPr>
      </w:pPr>
      <w:r>
        <w:rPr/>
        <w:t xml:space="preserve">Posuzování a vyhodnocování vhodnosti struktury financování klientů z hlediska potřeb klienta a výhodnosti pro banku, navrhování případných změn.</w:t>
      </w:r>
    </w:p>
    <w:p>
      <w:pPr>
        <w:numPr>
          <w:ilvl w:val="0"/>
          <w:numId w:val="5"/>
        </w:numPr>
      </w:pPr>
      <w:r>
        <w:rPr/>
        <w:t xml:space="preserve">Posuzování a vyhodnocování úvěrového rizika vyplývajícího z úvěrových návrhů.</w:t>
      </w:r>
    </w:p>
    <w:p>
      <w:pPr>
        <w:numPr>
          <w:ilvl w:val="0"/>
          <w:numId w:val="5"/>
        </w:numPr>
      </w:pPr>
      <w:r>
        <w:rPr/>
        <w:t xml:space="preserve">Provádění pravidelného monitoringu úvěrové angažovanosti.</w:t>
      </w:r>
    </w:p>
    <w:p>
      <w:pPr>
        <w:numPr>
          <w:ilvl w:val="0"/>
          <w:numId w:val="5"/>
        </w:numPr>
      </w:pPr>
      <w:r>
        <w:rPr/>
        <w:t xml:space="preserve">Zpracování návrhů na řešení ohrožených úvěrů a zajišťování jejich realizace s cílem minimalizace právních rizik.</w:t>
      </w:r>
    </w:p>
    <w:p>
      <w:pPr>
        <w:numPr>
          <w:ilvl w:val="0"/>
          <w:numId w:val="5"/>
        </w:numPr>
      </w:pPr>
      <w:r>
        <w:rPr/>
        <w:t xml:space="preserve">Tvorba podkladů pro sledování a analýzy úvěrového portfolia.</w:t>
      </w:r>
    </w:p>
    <w:p>
      <w:pPr>
        <w:numPr>
          <w:ilvl w:val="0"/>
          <w:numId w:val="5"/>
        </w:numPr>
      </w:pPr>
      <w:r>
        <w:rPr/>
        <w:t xml:space="preserve">Podíl na tvorbě a vyhodnocování postupů řízení úvěrového rizika a prosazování schválených postupů.</w:t>
      </w:r>
    </w:p>
    <w:p>
      <w:pPr>
        <w:numPr>
          <w:ilvl w:val="0"/>
          <w:numId w:val="5"/>
        </w:numPr>
      </w:pPr>
      <w:r>
        <w:rPr/>
        <w:t xml:space="preserve">Řízení úvěrového rizika ve svěřené oblasti.</w:t>
      </w:r>
    </w:p>
    <w:p>
      <w:pPr>
        <w:numPr>
          <w:ilvl w:val="0"/>
          <w:numId w:val="5"/>
        </w:numPr>
      </w:pPr>
      <w:r>
        <w:rPr/>
        <w:t xml:space="preserve">Řízení restrukturalizace nebo likvidace korporátních dlužníků a dlužníků typu malého a středního podniku (SMEs).</w:t>
      </w:r>
    </w:p>
    <w:p>
      <w:pPr>
        <w:numPr>
          <w:ilvl w:val="0"/>
          <w:numId w:val="5"/>
        </w:numPr>
      </w:pPr>
      <w:r>
        <w:rPr/>
        <w:t xml:space="preserve">Tvorba návrhů preventivních opatření k odstranění nežádoucího stavu.</w:t>
      </w:r>
    </w:p>
    <w:p>
      <w:pPr>
        <w:numPr>
          <w:ilvl w:val="0"/>
          <w:numId w:val="5"/>
        </w:numPr>
      </w:pPr>
      <w:r>
        <w:rPr/>
        <w:t xml:space="preserve">Provádění konzultační, poradenské a lektorské činnosti v oblasti řízení úvěrového rizika.</w:t>
      </w:r>
    </w:p>
    <w:p>
      <w:pPr>
        <w:numPr>
          <w:ilvl w:val="0"/>
          <w:numId w:val="5"/>
        </w:numPr>
      </w:pPr>
      <w:r>
        <w:rPr/>
        <w:t xml:space="preserve">Zajišťování databází, výstupů a dokumentace k problematice řízení úvěrů.</w:t>
      </w:r>
    </w:p>
    <w:p/>
    <w:p>
      <w:pPr>
        <w:pStyle w:val="Heading2"/>
      </w:pPr>
      <w:bookmarkStart w:id="3" w:name="_Toc3"/>
      <w:r>
        <w:t>CZ-ISCO</w:t>
      </w:r>
      <w:bookmarkEnd w:id="3"/>
    </w:p>
    <w:p>
      <w:pPr>
        <w:numPr>
          <w:ilvl w:val="0"/>
          <w:numId w:val="5"/>
        </w:numPr>
      </w:pPr>
      <w:r>
        <w:rPr/>
        <w:t xml:space="preserve">Specialisté řízení úvěrů</w:t>
      </w:r>
    </w:p>
    <w:p>
      <w:pPr>
        <w:numPr>
          <w:ilvl w:val="0"/>
          <w:numId w:val="5"/>
        </w:numPr>
      </w:pPr>
      <w:r>
        <w:rPr/>
        <w:t xml:space="preserve">Finanční analytici a specialisté v peněžnictví a pojišťovnictví</w:t>
      </w:r>
    </w:p>
    <w:p/>
    <w:p>
      <w:pPr>
        <w:pStyle w:val="Heading3"/>
      </w:pPr>
      <w:bookmarkStart w:id="4" w:name="_Toc4"/>
      <w:r>
        <w:t>Hrubé měsíční mzdy podle krajů v roce 2020</w:t>
      </w:r>
      <w:bookmarkEnd w:id="4"/>
    </w:p>
    <w:p>
      <w:pPr>
        <w:pStyle w:val="Heading4"/>
      </w:pPr>
      <w:bookmarkStart w:id="5" w:name="_Toc5"/>
      <w:r>
        <w:t>Finanční analytici a specialisté v peněžnictví a pojišťovnictví (CZ-ISCO 2413)</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34 259 Kč</w:t>
            </w:r>
          </w:p>
        </w:tc>
        <w:tc>
          <w:tcPr>
            <w:tcW w:w="1000" w:type="dxa"/>
          </w:tcPr>
          <w:p>
            <w:pPr>
              <w:jc w:val="center"/>
            </w:pPr>
            <w:r>
              <w:rPr/>
              <w:t xml:space="preserve">56 941 Kč</w:t>
            </w:r>
          </w:p>
        </w:tc>
        <w:tc>
          <w:tcPr>
            <w:tcW w:w="1000" w:type="dxa"/>
          </w:tcPr>
          <w:p>
            <w:pPr>
              <w:jc w:val="center"/>
            </w:pPr>
            <w:r>
              <w:rPr>
                <w:sz w:val="16"/>
                <w:szCs w:val="16"/>
              </w:rPr>
              <w:t xml:space="preserve">110 675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35 387 Kč</w:t>
            </w:r>
          </w:p>
        </w:tc>
        <w:tc>
          <w:tcPr>
            <w:tcW w:w="1000" w:type="dxa"/>
          </w:tcPr>
          <w:p>
            <w:pPr>
              <w:jc w:val="center"/>
            </w:pPr>
            <w:r>
              <w:rPr/>
              <w:t xml:space="preserve">49 347 Kč</w:t>
            </w:r>
          </w:p>
        </w:tc>
        <w:tc>
          <w:tcPr>
            <w:tcW w:w="1000" w:type="dxa"/>
          </w:tcPr>
          <w:p>
            <w:pPr>
              <w:jc w:val="center"/>
            </w:pPr>
            <w:r>
              <w:rPr/>
              <w:t xml:space="preserve">90 495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34 397 Kč</w:t>
            </w:r>
          </w:p>
        </w:tc>
        <w:tc>
          <w:tcPr>
            <w:tcW w:w="1000" w:type="dxa"/>
          </w:tcPr>
          <w:p>
            <w:pPr>
              <w:jc w:val="center"/>
            </w:pPr>
            <w:r>
              <w:rPr/>
              <w:t xml:space="preserve">49 122 Kč</w:t>
            </w:r>
          </w:p>
        </w:tc>
        <w:tc>
          <w:tcPr>
            <w:tcW w:w="1000" w:type="dxa"/>
          </w:tcPr>
          <w:p>
            <w:pPr>
              <w:jc w:val="center"/>
            </w:pPr>
            <w:r>
              <w:rPr/>
              <w:t xml:space="preserve">83 228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36 591 Kč</w:t>
            </w:r>
          </w:p>
        </w:tc>
        <w:tc>
          <w:tcPr>
            <w:tcW w:w="1000" w:type="dxa"/>
          </w:tcPr>
          <w:p>
            <w:pPr>
              <w:jc w:val="center"/>
            </w:pPr>
            <w:r>
              <w:rPr/>
              <w:t xml:space="preserve">50 548 Kč</w:t>
            </w:r>
          </w:p>
        </w:tc>
        <w:tc>
          <w:tcPr>
            <w:tcW w:w="1000" w:type="dxa"/>
          </w:tcPr>
          <w:p>
            <w:pPr>
              <w:jc w:val="center"/>
            </w:pPr>
            <w:r>
              <w:rPr/>
              <w:t xml:space="preserve">82 644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30 205 Kč</w:t>
            </w:r>
          </w:p>
        </w:tc>
        <w:tc>
          <w:tcPr>
            <w:tcW w:w="1000" w:type="dxa"/>
          </w:tcPr>
          <w:p>
            <w:pPr>
              <w:jc w:val="center"/>
            </w:pPr>
            <w:r>
              <w:rPr/>
              <w:t xml:space="preserve">47 945 Kč</w:t>
            </w:r>
          </w:p>
        </w:tc>
        <w:tc>
          <w:tcPr>
            <w:tcW w:w="1000" w:type="dxa"/>
          </w:tcPr>
          <w:p>
            <w:pPr>
              <w:jc w:val="center"/>
            </w:pPr>
            <w:r>
              <w:rPr/>
              <w:t xml:space="preserve">73 689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32 606 Kč</w:t>
            </w:r>
          </w:p>
        </w:tc>
        <w:tc>
          <w:tcPr>
            <w:tcW w:w="1000" w:type="dxa"/>
          </w:tcPr>
          <w:p>
            <w:pPr>
              <w:jc w:val="center"/>
            </w:pPr>
            <w:r>
              <w:rPr/>
              <w:t xml:space="preserve">46 059 Kč</w:t>
            </w:r>
          </w:p>
        </w:tc>
        <w:tc>
          <w:tcPr>
            <w:tcW w:w="1000" w:type="dxa"/>
          </w:tcPr>
          <w:p>
            <w:pPr>
              <w:jc w:val="center"/>
            </w:pPr>
            <w:r>
              <w:rPr/>
              <w:t xml:space="preserve">77 978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27 192 Kč</w:t>
            </w:r>
          </w:p>
        </w:tc>
        <w:tc>
          <w:tcPr>
            <w:tcW w:w="1000" w:type="dxa"/>
          </w:tcPr>
          <w:p>
            <w:pPr>
              <w:jc w:val="center"/>
            </w:pPr>
            <w:r>
              <w:rPr/>
              <w:t xml:space="preserve">44 998 Kč</w:t>
            </w:r>
          </w:p>
        </w:tc>
        <w:tc>
          <w:tcPr>
            <w:tcW w:w="1000" w:type="dxa"/>
          </w:tcPr>
          <w:p>
            <w:pPr>
              <w:jc w:val="center"/>
            </w:pPr>
            <w:r>
              <w:rPr/>
              <w:t xml:space="preserve">82 148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33 307 Kč</w:t>
            </w:r>
          </w:p>
        </w:tc>
        <w:tc>
          <w:tcPr>
            <w:tcW w:w="1000" w:type="dxa"/>
          </w:tcPr>
          <w:p>
            <w:pPr>
              <w:jc w:val="center"/>
            </w:pPr>
            <w:r>
              <w:rPr/>
              <w:t xml:space="preserve">51 047 Kč</w:t>
            </w:r>
          </w:p>
        </w:tc>
        <w:tc>
          <w:tcPr>
            <w:tcW w:w="1000" w:type="dxa"/>
          </w:tcPr>
          <w:p>
            <w:pPr>
              <w:jc w:val="center"/>
            </w:pPr>
            <w:r>
              <w:rPr/>
              <w:t xml:space="preserve">90 452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34 016 Kč</w:t>
            </w:r>
          </w:p>
        </w:tc>
        <w:tc>
          <w:tcPr>
            <w:tcW w:w="1000" w:type="dxa"/>
          </w:tcPr>
          <w:p>
            <w:pPr>
              <w:jc w:val="center"/>
            </w:pPr>
            <w:r>
              <w:rPr/>
              <w:t xml:space="preserve">48 922 Kč</w:t>
            </w:r>
          </w:p>
        </w:tc>
        <w:tc>
          <w:tcPr>
            <w:tcW w:w="1000" w:type="dxa"/>
          </w:tcPr>
          <w:p>
            <w:pPr>
              <w:jc w:val="center"/>
            </w:pPr>
            <w:r>
              <w:rPr/>
              <w:t xml:space="preserve">83 964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33 761 Kč</w:t>
            </w:r>
          </w:p>
        </w:tc>
        <w:tc>
          <w:tcPr>
            <w:tcW w:w="1000" w:type="dxa"/>
          </w:tcPr>
          <w:p>
            <w:pPr>
              <w:jc w:val="center"/>
            </w:pPr>
            <w:r>
              <w:rPr/>
              <w:t xml:space="preserve">44 365 Kč</w:t>
            </w:r>
          </w:p>
        </w:tc>
        <w:tc>
          <w:tcPr>
            <w:tcW w:w="1000" w:type="dxa"/>
          </w:tcPr>
          <w:p>
            <w:pPr>
              <w:jc w:val="center"/>
            </w:pPr>
            <w:r>
              <w:rPr/>
              <w:t xml:space="preserve">74 063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31 568 Kč</w:t>
            </w:r>
          </w:p>
        </w:tc>
        <w:tc>
          <w:tcPr>
            <w:tcW w:w="1000" w:type="dxa"/>
          </w:tcPr>
          <w:p>
            <w:pPr>
              <w:jc w:val="center"/>
            </w:pPr>
            <w:r>
              <w:rPr/>
              <w:t xml:space="preserve">46 251 Kč</w:t>
            </w:r>
          </w:p>
        </w:tc>
        <w:tc>
          <w:tcPr>
            <w:tcW w:w="1000" w:type="dxa"/>
          </w:tcPr>
          <w:p>
            <w:pPr>
              <w:jc w:val="center"/>
            </w:pPr>
            <w:r>
              <w:rPr/>
              <w:t xml:space="preserve">76 173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28 133 Kč</w:t>
            </w:r>
          </w:p>
        </w:tc>
        <w:tc>
          <w:tcPr>
            <w:tcW w:w="1000" w:type="dxa"/>
          </w:tcPr>
          <w:p>
            <w:pPr>
              <w:jc w:val="center"/>
            </w:pPr>
            <w:r>
              <w:rPr/>
              <w:t xml:space="preserve">36 772 Kč</w:t>
            </w:r>
          </w:p>
        </w:tc>
        <w:tc>
          <w:tcPr>
            <w:tcW w:w="1000" w:type="dxa"/>
          </w:tcPr>
          <w:p>
            <w:pPr>
              <w:jc w:val="center"/>
            </w:pPr>
            <w:r>
              <w:rPr/>
              <w:t xml:space="preserve">60 296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30 091 Kč</w:t>
            </w:r>
          </w:p>
        </w:tc>
        <w:tc>
          <w:tcPr>
            <w:tcW w:w="1000" w:type="dxa"/>
          </w:tcPr>
          <w:p>
            <w:pPr>
              <w:jc w:val="center"/>
            </w:pPr>
            <w:r>
              <w:rPr/>
              <w:t xml:space="preserve">44 612 Kč</w:t>
            </w:r>
          </w:p>
        </w:tc>
        <w:tc>
          <w:tcPr>
            <w:tcW w:w="1000" w:type="dxa"/>
          </w:tcPr>
          <w:p>
            <w:pPr>
              <w:jc w:val="center"/>
            </w:pPr>
            <w:r>
              <w:rPr/>
              <w:t xml:space="preserve">84 136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28 431 Kč</w:t>
            </w:r>
          </w:p>
        </w:tc>
        <w:tc>
          <w:tcPr>
            <w:tcW w:w="1000" w:type="dxa"/>
          </w:tcPr>
          <w:p>
            <w:pPr>
              <w:jc w:val="center"/>
            </w:pPr>
            <w:r>
              <w:rPr/>
              <w:t xml:space="preserve">41 177 Kč</w:t>
            </w:r>
          </w:p>
        </w:tc>
        <w:tc>
          <w:tcPr>
            <w:tcW w:w="1000" w:type="dxa"/>
          </w:tcPr>
          <w:p>
            <w:pPr>
              <w:jc w:val="center"/>
            </w:pPr>
            <w:r>
              <w:rPr/>
              <w:t xml:space="preserve">71 542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2413</w:t>
            </w:r>
          </w:p>
        </w:tc>
        <w:tc>
          <w:tcPr>
            <w:tcW w:w="2000" w:type="dxa"/>
          </w:tcPr>
          <w:p>
            <w:pPr/>
            <w:r>
              <w:rPr/>
              <w:t xml:space="preserve">Finanční analytici a specialisté v peněžnictví a pojišťovnictví</w:t>
            </w:r>
          </w:p>
        </w:tc>
        <w:tc>
          <w:tcPr>
            <w:tcW w:w="1000" w:type="dxa"/>
          </w:tcPr>
          <w:p>
            <w:pPr>
              <w:jc w:val="center"/>
            </w:pPr>
            <w:r>
              <w:rPr/>
              <w:t xml:space="preserve">48 535 Kč</w:t>
            </w:r>
          </w:p>
        </w:tc>
        <w:tc>
          <w:tcPr>
            <w:tcW w:w="1000" w:type="dxa"/>
          </w:tcPr>
          <w:p>
            <w:pPr>
              <w:jc w:val="center"/>
            </w:pPr>
            <w:r>
              <w:rPr/>
              <w:t xml:space="preserve">54 408 Kč</w:t>
            </w:r>
          </w:p>
        </w:tc>
      </w:tr>
      <w:tr>
        <w:trPr/>
        <w:tc>
          <w:tcPr>
            <w:tcW w:w="1000" w:type="dxa"/>
          </w:tcPr>
          <w:p>
            <w:pPr>
              <w:jc w:val="center"/>
            </w:pPr>
            <w:r>
              <w:rPr/>
              <w:t xml:space="preserve">24135</w:t>
            </w:r>
          </w:p>
        </w:tc>
        <w:tc>
          <w:tcPr>
            <w:tcW w:w="2000" w:type="dxa"/>
          </w:tcPr>
          <w:p>
            <w:pPr/>
            <w:r>
              <w:rPr/>
              <w:t xml:space="preserve">Specialisté řízení úvěrů</w:t>
            </w:r>
          </w:p>
        </w:tc>
        <w:tc>
          <w:tcPr>
            <w:tcW w:w="1000" w:type="dxa"/>
          </w:tcPr>
          <w:p>
            <w:pPr>
              <w:jc w:val="center"/>
            </w:pPr>
            <w:r>
              <w:rPr/>
              <w:t xml:space="preserve">-</w:t>
            </w:r>
          </w:p>
        </w:tc>
        <w:tc>
          <w:tcPr>
            <w:tcW w:w="1000" w:type="dxa"/>
          </w:tcPr>
          <w:p>
            <w:pPr>
              <w:jc w:val="center"/>
            </w:pPr>
            <w:r>
              <w:rPr/>
              <w:t xml:space="preserve">52 383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ekonomie</w:t>
            </w:r>
          </w:p>
        </w:tc>
        <w:tc>
          <w:tcPr>
            <w:tcW w:w="2000" w:type="dxa"/>
          </w:tcPr>
          <w:p>
            <w:pPr>
              <w:jc w:val="center"/>
            </w:pPr>
            <w:r>
              <w:rPr/>
              <w:t xml:space="preserve">62xxT</w:t>
            </w:r>
          </w:p>
        </w:tc>
      </w:tr>
      <w:tr>
        <w:trPr/>
        <w:tc>
          <w:tcPr>
            <w:tcW w:w="2000" w:type="dxa"/>
          </w:tcPr>
          <w:p>
            <w:pPr>
              <w:jc w:val="center"/>
            </w:pPr>
            <w:r>
              <w:rPr/>
              <w:t xml:space="preserve">KKOV</w:t>
            </w:r>
          </w:p>
        </w:tc>
        <w:tc>
          <w:tcPr>
            <w:tcW w:w="5000" w:type="dxa"/>
          </w:tcPr>
          <w:p>
            <w:pPr/>
            <w:r>
              <w:rPr/>
              <w:t xml:space="preserve">Magisterský studijní program ve skupině oborů právo, právní a veřejnosprávní činnost</w:t>
            </w:r>
          </w:p>
        </w:tc>
        <w:tc>
          <w:tcPr>
            <w:tcW w:w="2000" w:type="dxa"/>
          </w:tcPr>
          <w:p>
            <w:pPr>
              <w:jc w:val="center"/>
            </w:pPr>
            <w:r>
              <w:rPr/>
              <w:t xml:space="preserve">68xxT</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ekonomika a management</w:t>
            </w:r>
          </w:p>
        </w:tc>
        <w:tc>
          <w:tcPr>
            <w:tcW w:w="2000" w:type="dxa"/>
          </w:tcPr>
          <w:p>
            <w:pPr>
              <w:jc w:val="center"/>
            </w:pPr>
            <w:r>
              <w:rPr/>
              <w:t xml:space="preserve">6208R</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i11.D.3321</w:t>
            </w:r>
          </w:p>
        </w:tc>
        <w:tc>
          <w:tcPr>
            <w:tcW w:w="3000" w:type="dxa"/>
          </w:tcPr>
          <w:p>
            <w:pPr/>
            <w:r>
              <w:rPr/>
              <w:t xml:space="preserve">Kontrola dodržování stanovených metodických postupů a jejich účinnosti včetně dodržování úvěrových limitů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i11.D.8326</w:t>
            </w:r>
          </w:p>
        </w:tc>
        <w:tc>
          <w:tcPr>
            <w:tcW w:w="3000" w:type="dxa"/>
          </w:tcPr>
          <w:p>
            <w:pPr/>
            <w:r>
              <w:rPr/>
              <w:t xml:space="preserve">Spolupráce při přípravě dokumentace problémových úvěrů a při přípravě podkladů pro finanční audit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i11.D.8329</w:t>
            </w:r>
          </w:p>
        </w:tc>
        <w:tc>
          <w:tcPr>
            <w:tcW w:w="3000" w:type="dxa"/>
          </w:tcPr>
          <w:p>
            <w:pPr/>
            <w:r>
              <w:rPr/>
              <w:t xml:space="preserve">Zpracovávání přehledů, databází a výstupů k problematice řízení úvěrů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i11.D.2324</w:t>
            </w:r>
          </w:p>
        </w:tc>
        <w:tc>
          <w:tcPr>
            <w:tcW w:w="3000" w:type="dxa"/>
          </w:tcPr>
          <w:p>
            <w:pPr/>
            <w:r>
              <w:rPr/>
              <w:t xml:space="preserve">Tvorba metodiky a postupů řízení úvěrového rizika včetně navrhování opatření vyplývajících z kontrolní činnosti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i11.C.1321</w:t>
            </w:r>
          </w:p>
        </w:tc>
        <w:tc>
          <w:tcPr>
            <w:tcW w:w="3000" w:type="dxa"/>
          </w:tcPr>
          <w:p>
            <w:pPr/>
            <w:r>
              <w:rPr/>
              <w:t xml:space="preserve">Poskytování konzultací a poradenské činnosti v oblasti řízení úvěrů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i11.Z.5001</w:t>
            </w:r>
          </w:p>
        </w:tc>
        <w:tc>
          <w:tcPr>
            <w:tcW w:w="3000" w:type="dxa"/>
          </w:tcPr>
          <w:p>
            <w:pPr/>
            <w:r>
              <w:rPr/>
              <w:t xml:space="preserve">Koordinace a řízení spolupráce s ostatními útvary při řešení ohrožených úvěrů, včetně jejich případné realizace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i11.Z.5002</w:t>
            </w:r>
          </w:p>
        </w:tc>
        <w:tc>
          <w:tcPr>
            <w:tcW w:w="3000" w:type="dxa"/>
          </w:tcPr>
          <w:p>
            <w:pPr/>
            <w:r>
              <w:rPr/>
              <w:t xml:space="preserve">Řízení úvěrového rizika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i11.D.2323</w:t>
            </w:r>
          </w:p>
        </w:tc>
        <w:tc>
          <w:tcPr>
            <w:tcW w:w="3000" w:type="dxa"/>
          </w:tcPr>
          <w:p>
            <w:pPr/>
            <w:r>
              <w:rPr/>
              <w:t xml:space="preserve">Zpracovávání bankovně-obchodních plánů útvaru řízení úvěrů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i11.D.2433</w:t>
            </w:r>
          </w:p>
        </w:tc>
        <w:tc>
          <w:tcPr>
            <w:tcW w:w="3000" w:type="dxa"/>
          </w:tcPr>
          <w:p>
            <w:pPr/>
            <w:r>
              <w:rPr/>
              <w:t xml:space="preserve">Vypracovávání návrhů, doporučení či stanovisek pro koncepční a strategické rozhodování vedení peněžního ústavu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i11.D.3413</w:t>
            </w:r>
          </w:p>
        </w:tc>
        <w:tc>
          <w:tcPr>
            <w:tcW w:w="3000" w:type="dxa"/>
          </w:tcPr>
          <w:p>
            <w:pPr/>
            <w:r>
              <w:rPr/>
              <w:t xml:space="preserve">Posuzování finančních rizik konkrétních obchodů včetně posuzování předložených obchodních smluv</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i11.D.8324</w:t>
            </w:r>
          </w:p>
        </w:tc>
        <w:tc>
          <w:tcPr>
            <w:tcW w:w="3000" w:type="dxa"/>
          </w:tcPr>
          <w:p>
            <w:pPr/>
            <w:r>
              <w:rPr/>
              <w:t xml:space="preserve">Příprava a zpracovávání podkladů z oblasti řízení úvěrů pro jednání vedení peněžního ústavu i pro ostatní kontrolní orgány (dozorčí radu, vnější i vnitřní</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i11._.0032</w:t>
            </w:r>
          </w:p>
        </w:tc>
        <w:tc>
          <w:tcPr>
            <w:tcW w:w="3000" w:type="dxa"/>
          </w:tcPr>
          <w:p>
            <w:pPr/>
            <w:r>
              <w:rPr/>
              <w:t xml:space="preserve">úvěrový obchod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i41._.0024</w:t>
            </w:r>
          </w:p>
        </w:tc>
        <w:tc>
          <w:tcPr>
            <w:tcW w:w="3000" w:type="dxa"/>
          </w:tcPr>
          <w:p>
            <w:pPr/>
            <w:r>
              <w:rPr/>
              <w:t xml:space="preserve">postupy vymáhání pohledávek</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i41._.0016</w:t>
            </w:r>
          </w:p>
        </w:tc>
        <w:tc>
          <w:tcPr>
            <w:tcW w:w="3000" w:type="dxa"/>
          </w:tcPr>
          <w:p>
            <w:pPr/>
            <w:r>
              <w:rPr/>
              <w:t xml:space="preserve">obchodní právo</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i33._.0014</w:t>
            </w:r>
          </w:p>
        </w:tc>
        <w:tc>
          <w:tcPr>
            <w:tcW w:w="3000" w:type="dxa"/>
          </w:tcPr>
          <w:p>
            <w:pPr/>
            <w:r>
              <w:rPr/>
              <w:t xml:space="preserve">finanční účetnictví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i33._.0061</w:t>
            </w:r>
          </w:p>
        </w:tc>
        <w:tc>
          <w:tcPr>
            <w:tcW w:w="3000" w:type="dxa"/>
          </w:tcPr>
          <w:p>
            <w:pPr/>
            <w:r>
              <w:rPr/>
              <w:t xml:space="preserve">daňové účetnictví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6" w:name="_Toc16"/>
      <w:r>
        <w:t>Měkké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5</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7" w:name="_Toc17"/>
      <w:r>
        <w:t>Zdravotní podmínky</w:t>
      </w:r>
      <w:bookmarkEnd w:id="17"/>
    </w:p>
    <w:p>
      <w:pPr>
        <w:pStyle w:val="Heading3"/>
      </w:pPr>
      <w:bookmarkStart w:id="18" w:name="_Toc18"/>
      <w:r>
        <w:t>Onemocnění omezující výkon povolání / specializace povolání.</w:t>
      </w:r>
      <w:bookmarkEnd w:id="18"/>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9FF98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Specialista úvěrových rizik</dc:title>
  <dc:description>Specialista úvěrových rizik vyhodnocuje úvěrové riziko jednotlivých obchodních případů, sleduje ukazatele úvěrové likvidity a zajišťuje prosazování metodiky řízení úvěrové angažovanosti. V rámci svěřené oblasti řídí úvěrové riziko a navrhuje opatření k odstranění nežádoucího stavu a dosažení optimálních výsledků v rámci banky a/či ve vztahu ke konkrétnímu obchodnímu případu.</dc:description>
  <dc:subject/>
  <cp:keywords/>
  <cp:category>Specializace</cp:category>
  <cp:lastModifiedBy/>
  <dcterms:created xsi:type="dcterms:W3CDTF">2017-11-22T09:22:10+01:00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