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</w:t>
      </w:r>
      <w:bookmarkEnd w:id="1"/>
    </w:p>
    <w:p>
      <w:pPr/>
      <w:r>
        <w:rPr/>
        <w:t xml:space="preserve">Soudce v pozici zákonného soudce jako samosoudce nebo jako člen soudního senátu nezávisle rozhoduje o právech a povinnostech fyzických a právnických osob, o jejich osobním stavu a o vině a trestu v trestních věcech a ve správním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Judge, Jury, Justiciary, Justice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o ústavních stížnostech a o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sporů a jiných věcí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správních a trestních.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FF8A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</dc:title>
  <dc:description>Soudce v pozici zákonného soudce jako samosoudce nebo jako člen soudního senátu nezávisle rozhoduje o právech a povinnostech fyzických a právnických osob, o jejich osobním stavu a o vině a trestu v trestních věcech a ve správním soudnictví.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