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volnočasových aktivit dětí a mládeže</w:t>
      </w:r>
      <w:bookmarkEnd w:id="1"/>
    </w:p>
    <w:p>
      <w:pPr/>
      <w:r>
        <w:rPr/>
        <w:t xml:space="preserve">Vedoucí volnočasových aktivit dětí a mládeže řídí a realizuje výchovně vzdělávací proces ve volnočasových aktivitách dětí a mládeže.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výchova předškolní a mimoškolní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oddílu, Vedoucí klubu, Youth Worker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Analyzování potřeb sociální skupiny.</w:t>
      </w:r>
    </w:p>
    <w:p>
      <w:pPr>
        <w:numPr>
          <w:ilvl w:val="0"/>
          <w:numId w:val="5"/>
        </w:numPr>
      </w:pPr>
      <w:r>
        <w:rPr/>
        <w:t xml:space="preserve">Stanovování výchovných a vzdělávacích cílů.</w:t>
      </w:r>
    </w:p>
    <w:p>
      <w:pPr>
        <w:numPr>
          <w:ilvl w:val="0"/>
          <w:numId w:val="5"/>
        </w:numPr>
      </w:pPr>
      <w:r>
        <w:rPr/>
        <w:t xml:space="preserve">Aplikace výchovných a vzdělávacích metod.</w:t>
      </w:r>
    </w:p>
    <w:p>
      <w:pPr>
        <w:numPr>
          <w:ilvl w:val="0"/>
          <w:numId w:val="5"/>
        </w:numPr>
      </w:pPr>
      <w:r>
        <w:rPr/>
        <w:t xml:space="preserve">Organizace a zajištění her a dalších činností.</w:t>
      </w:r>
    </w:p>
    <w:p>
      <w:pPr>
        <w:numPr>
          <w:ilvl w:val="0"/>
          <w:numId w:val="5"/>
        </w:numPr>
      </w:pPr>
      <w:r>
        <w:rPr/>
        <w:t xml:space="preserve">Posuzování bezpečnostních a zdravotních rizik.</w:t>
      </w:r>
    </w:p>
    <w:p>
      <w:pPr>
        <w:numPr>
          <w:ilvl w:val="0"/>
          <w:numId w:val="5"/>
        </w:numPr>
      </w:pPr>
      <w:r>
        <w:rPr/>
        <w:t xml:space="preserve">Vedení oddílu, skupiny, kroužku, aktivit, akcí.</w:t>
      </w:r>
    </w:p>
    <w:p>
      <w:pPr>
        <w:numPr>
          <w:ilvl w:val="0"/>
          <w:numId w:val="5"/>
        </w:numPr>
      </w:pPr>
      <w:r>
        <w:rPr/>
        <w:t xml:space="preserve">Vyhodnocování účinnosti výchovy.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Pedagogika pro asistenty ve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Pedagogické lyceum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78-42-M/03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Kompetenční požadavky</w:t>
      </w:r>
      <w:bookmarkEnd w:id="8"/>
    </w:p>
    <w:p>
      <w:pPr>
        <w:pStyle w:val="Heading3"/>
      </w:pPr>
      <w:bookmarkStart w:id="9" w:name="_Toc9"/>
      <w:r>
        <w:t>Odborné dovednosti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k21.C.7015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potřeb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obsahu a struktury výchovně vzdělávací aktivity na základě stanovených vzdělávacích cílů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obsahu výchovně vzdělávací aktivity do časového scénáře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výchovně vzdělávací aktivity a dosažení nastavených vzdělávacích cílů a požadovaných kompetencí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vedení výchovně vzdělávacích aktivit pro děti a mládež s ohledem na speciální vzdělávací potřeby, prevenci rizikového chování a zásady multikulturní a environmentální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krizové intervence při práci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právním a ekonomickém rámci při práci s dětmi a mládeží ve volném čase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bezpečnosti a ochrany zdraví při práci a požární ochrany při práci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j41.D.1120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sestavování celoročního plánu výchovně vzdělávacích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0" w:name="_Toc10"/>
      <w:r>
        <w:t>Odborné znalosti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protidrogová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multikulturní výchova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proti šikaně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Obecné dovednosti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2" w:name="_Toc12"/>
      <w:r>
        <w:t>Měkké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247CB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volnočasových aktivit dětí a mládeže</dc:title>
  <dc:description>Vedoucí volnočasových aktivit dětí a mládeže řídí a realizuje výchovně vzdělávací proces ve volnočasových aktivitách dětí a mládeže.</dc:description>
  <dc:subject/>
  <cp:keywords/>
  <cp:category>Povolání</cp:category>
  <cp:lastModifiedBy/>
  <dcterms:created xsi:type="dcterms:W3CDTF">2017-11-22T09:07:22+01:00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