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</w:t>
      </w:r>
      <w:bookmarkEnd w:id="1"/>
    </w:p>
    <w:p>
      <w:pPr/>
      <w:r>
        <w:rPr/>
        <w:t xml:space="preserve"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technické přípravy výroby a zpracování technických podkladů.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Stanovování nejsložitějších technologických postupů sklářské a bižuterní výroby.</w:t>
      </w:r>
    </w:p>
    <w:p>
      <w:pPr>
        <w:numPr>
          <w:ilvl w:val="0"/>
          <w:numId w:val="5"/>
        </w:numPr>
      </w:pPr>
      <w:r>
        <w:rPr/>
        <w:t xml:space="preserve">Komplexní zpracování potřeby investičních celků.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34A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</dc:title>
  <dc:description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