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Stavební inženýr výroby stavebních hmot a výrobků</w:t>
      </w:r>
      <w:bookmarkEnd w:id="1"/>
    </w:p>
    <w:p>
      <w:pPr/>
      <w:r>
        <w:rPr/>
        <w:t xml:space="preserve">Stavební inženýr výroby stavebních hmot a výrobků řídí a organizuje výrobu stavebních hmot a stavebních výrobků.</w:t>
      </w:r>
    </w:p>
    <w:p/>
    <w:tbl>
      <w:tblGrid>
        <w:gridCol w:w="3000" w:type="dxa"/>
        <w:gridCol w:w="6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/>
            <w:r>
              <w:rPr>
                <w:b w:val="1"/>
                <w:bCs w:val="1"/>
              </w:rPr>
              <w:t xml:space="preserve">Odborný směr:</w:t>
            </w:r>
          </w:p>
        </w:tc>
        <w:tc>
          <w:tcPr>
            <w:tcW w:w="6000" w:type="dxa"/>
          </w:tcPr>
          <w:p>
            <w:pPr/>
            <w:r>
              <w:rPr/>
              <w:t xml:space="preserve">Stavebnictví a zeměměřictví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Odborný podsměr:</w:t>
            </w:r>
          </w:p>
        </w:tc>
        <w:tc>
          <w:tcPr/>
          <w:p>
            <w:pPr/>
            <w:r>
              <w:rPr/>
              <w:t xml:space="preserve">stavební technické činnosti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Kvalifikační úroveň:</w:t>
            </w:r>
          </w:p>
        </w:tc>
        <w:tc>
          <w:tcPr/>
          <w:p>
            <w:pPr/>
            <w:r>
              <w:rPr/>
              <w:t xml:space="preserve">Magisterský studijní program</w:t>
            </w:r>
          </w:p>
        </w:tc>
      </w:tr>
      <w:tr>
        <w:trPr/>
        <w:tc>
          <w:tcPr/>
          <w:p>
            <w:pPr/>
            <w:r>
              <w:rPr>
                <w:b w:val="1"/>
                <w:bCs w:val="1"/>
              </w:rPr>
              <w:t xml:space="preserve">Regulovaná jednotka práce:</w:t>
            </w:r>
          </w:p>
        </w:tc>
        <w:tc>
          <w:tcPr/>
          <w:p>
            <w:pPr/>
            <w:r>
              <w:rPr/>
              <w:t xml:space="preserve">ne</w:t>
            </w:r>
          </w:p>
        </w:tc>
      </w:tr>
    </w:tbl>
    <w:p/>
    <w:p>
      <w:pPr>
        <w:pStyle w:val="Heading2"/>
      </w:pPr>
      <w:bookmarkStart w:id="2" w:name="_Toc2"/>
      <w:r>
        <w:t>Pracovní činnosti</w:t>
      </w:r>
      <w:bookmarkEnd w:id="2"/>
    </w:p>
    <w:p>
      <w:pPr>
        <w:numPr>
          <w:ilvl w:val="0"/>
          <w:numId w:val="5"/>
        </w:numPr>
      </w:pPr>
      <w:r>
        <w:rPr/>
        <w:t xml:space="preserve">Řízení a organizace výroby stavebních hmot a výrobků podle výrobních plánů.</w:t>
      </w:r>
    </w:p>
    <w:p>
      <w:pPr>
        <w:numPr>
          <w:ilvl w:val="0"/>
          <w:numId w:val="5"/>
        </w:numPr>
      </w:pPr>
      <w:r>
        <w:rPr/>
        <w:t xml:space="preserve">Dohled nad dodržováním výrobních postupů a technologické kázně a snižování negativních vlivů výrobního procesu na životní prostředí.</w:t>
      </w:r>
    </w:p>
    <w:p>
      <w:pPr>
        <w:numPr>
          <w:ilvl w:val="0"/>
          <w:numId w:val="5"/>
        </w:numPr>
      </w:pPr>
      <w:r>
        <w:rPr/>
        <w:t xml:space="preserve">Optimalizace využívání výrobních a pracovních kapacit.</w:t>
      </w:r>
    </w:p>
    <w:p>
      <w:pPr>
        <w:numPr>
          <w:ilvl w:val="0"/>
          <w:numId w:val="5"/>
        </w:numPr>
      </w:pPr>
      <w:r>
        <w:rPr/>
        <w:t xml:space="preserve">Zajišťování plynulosti a rovnoměrnosti výroby a modernizace výrobního procesu.</w:t>
      </w:r>
    </w:p>
    <w:p>
      <w:pPr>
        <w:numPr>
          <w:ilvl w:val="0"/>
          <w:numId w:val="5"/>
        </w:numPr>
      </w:pPr>
      <w:r>
        <w:rPr/>
        <w:t xml:space="preserve">Sestavování operativních plánů, vydávání výrobních příkazů, řízení kapacitního plánování.</w:t>
      </w:r>
    </w:p>
    <w:p>
      <w:pPr>
        <w:numPr>
          <w:ilvl w:val="0"/>
          <w:numId w:val="5"/>
        </w:numPr>
      </w:pPr>
      <w:r>
        <w:rPr/>
        <w:t xml:space="preserve">Navrhování strategie řízení a kontroly kvality výroby stavebních hmot a výrobků.</w:t>
      </w:r>
    </w:p>
    <w:p>
      <w:pPr>
        <w:numPr>
          <w:ilvl w:val="0"/>
          <w:numId w:val="5"/>
        </w:numPr>
      </w:pPr>
      <w:r>
        <w:rPr/>
        <w:t xml:space="preserve">Řízení a kontrola činnosti všech podřízených útvarů, včetně zajištění bezpečnosti a ochrany zdraví při práci a pravidel požární ochrany.</w:t>
      </w:r>
    </w:p>
    <w:p>
      <w:pPr>
        <w:numPr>
          <w:ilvl w:val="0"/>
          <w:numId w:val="5"/>
        </w:numPr>
      </w:pPr>
      <w:r>
        <w:rPr/>
        <w:t xml:space="preserve">Kontrola dodržování předpisů o nakládání s odpady, popř. rozhodování o jejich využití.</w:t>
      </w:r>
    </w:p>
    <w:p>
      <w:pPr>
        <w:numPr>
          <w:ilvl w:val="0"/>
          <w:numId w:val="5"/>
        </w:numPr>
      </w:pPr>
      <w:r>
        <w:rPr/>
        <w:t xml:space="preserve">Zdokonalování systému preventivních postupů s cílem předcházet poruchám výrobního procesu.</w:t>
      </w:r>
    </w:p>
    <w:p>
      <w:pPr>
        <w:numPr>
          <w:ilvl w:val="0"/>
          <w:numId w:val="5"/>
        </w:numPr>
      </w:pPr>
      <w:r>
        <w:rPr/>
        <w:t xml:space="preserve">Vedení provozní, výrobní dokumentace, výkazů a evidencí.</w:t>
      </w:r>
    </w:p>
    <w:p/>
    <w:p>
      <w:pPr>
        <w:pStyle w:val="Heading2"/>
      </w:pPr>
      <w:bookmarkStart w:id="3" w:name="_Toc3"/>
      <w:r>
        <w:t>CZ-ISCO</w:t>
      </w:r>
      <w:bookmarkEnd w:id="3"/>
    </w:p>
    <w:p>
      <w:pPr>
        <w:numPr>
          <w:ilvl w:val="0"/>
          <w:numId w:val="5"/>
        </w:numPr>
      </w:pPr>
      <w:r>
        <w:rPr/>
        <w:t xml:space="preserve">Stavební inženýři kontroly a řízení kvality</w:t>
      </w:r>
    </w:p>
    <w:p>
      <w:pPr>
        <w:numPr>
          <w:ilvl w:val="0"/>
          <w:numId w:val="5"/>
        </w:numPr>
      </w:pPr>
      <w:r>
        <w:rPr/>
        <w:t xml:space="preserve">Stavební inženýři technologové, normovači</w:t>
      </w:r>
    </w:p>
    <w:p>
      <w:pPr>
        <w:numPr>
          <w:ilvl w:val="0"/>
          <w:numId w:val="5"/>
        </w:numPr>
      </w:pPr>
      <w:r>
        <w:rPr/>
        <w:t xml:space="preserve">Stavební inženýři</w:t>
      </w:r>
    </w:p>
    <w:p/>
    <w:p>
      <w:pPr>
        <w:pStyle w:val="Heading3"/>
      </w:pPr>
      <w:bookmarkStart w:id="4" w:name="_Toc4"/>
      <w:r>
        <w:t>Hrubé měsíční mzdy podle krajů v roce 2025</w:t>
      </w:r>
      <w:bookmarkEnd w:id="4"/>
    </w:p>
    <w:p>
      <w:pPr>
        <w:pStyle w:val="Heading4"/>
      </w:pPr>
      <w:bookmarkStart w:id="5" w:name="_Toc5"/>
      <w:r>
        <w:t>Stavební inženýři (CZ-ISCO 2142)</w:t>
      </w:r>
      <w:bookmarkEnd w:id="5"/>
    </w:p>
    <w:tbl>
      <w:tblGrid>
        <w:gridCol w:w="2400" w:type="dxa"/>
        <w:gridCol w:w="1100" w:type="dxa"/>
        <w:gridCol w:w="1100" w:type="dxa"/>
        <w:gridCol w:w="1100" w:type="dxa"/>
        <w:gridCol w:w="1100" w:type="dxa"/>
        <w:gridCol w:w="1100" w:type="dxa"/>
        <w:gridCol w:w="11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400" w:type="dxa"/>
          </w:tcPr>
          <w:p/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300" w:type="dxa"/>
            <w:gridSpan w:val="3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2400" w:type="dxa"/>
          </w:tcPr>
          <w:p>
            <w:pPr/>
            <w:r>
              <w:rPr>
                <w:b w:val="1"/>
                <w:bCs w:val="1"/>
              </w:rPr>
              <w:t xml:space="preserve">Kraj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Od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</w:t>
            </w:r>
          </w:p>
        </w:tc>
        <w:tc>
          <w:tcPr>
            <w:tcW w:w="11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Do</w:t>
            </w:r>
          </w:p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Hlavní město Praha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35 624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75 058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131 194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Středočeský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40 848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65 398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112 191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Kraj Vysočina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48 494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68 110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109 541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Jihomoravský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49 346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65 086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99 728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Zlínský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44 542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66 785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>
                <w:sz w:val="16"/>
                <w:szCs w:val="16"/>
              </w:rPr>
              <w:t xml:space="preserve">110 672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  <w:tr>
        <w:trPr/>
        <w:tc>
          <w:tcPr>
            <w:tcW w:w="2000" w:type="dxa"/>
          </w:tcPr>
          <w:p>
            <w:pPr/>
            <w:r>
              <w:rPr/>
              <w:t xml:space="preserve">Moravskoslezský kraj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38 983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68 917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98 001 Kč</w:t>
            </w:r>
          </w:p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  <w:tc>
          <w:tcPr>
            <w:tcW w:w="1000" w:type="dxa"/>
          </w:tcPr>
          <w:p/>
        </w:tc>
      </w:tr>
    </w:tbl>
    <w:p/>
    <w:p>
      <w:pPr>
        <w:pStyle w:val="Heading3"/>
      </w:pPr>
      <w:bookmarkStart w:id="6" w:name="_Toc6"/>
      <w:r>
        <w:t>Hrubé měsíční mzdy v roce 2025 celkem</w:t>
      </w:r>
      <w:bookmarkEnd w:id="6"/>
    </w:p>
    <w:tbl>
      <w:tblGrid>
        <w:gridCol w:w="1000" w:type="dxa"/>
        <w:gridCol w:w="2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  <w:gridSpan w:val="2"/>
          </w:tcPr>
          <w:p/>
        </w:tc>
        <w:tc>
          <w:tcPr>
            <w:tcW w:w="6000" w:type="dxa"/>
            <w:gridSpan w:val="2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Medián za ČR celkem</w:t>
            </w:r>
          </w:p>
        </w:tc>
      </w:tr>
      <w:tr>
        <w:trPr/>
        <w:tc>
          <w:tcPr>
            <w:tcW w:w="1000" w:type="dxa"/>
          </w:tcPr>
          <w:p>
            <w:pPr/>
            <w:r>
              <w:rPr>
                <w:b w:val="1"/>
                <w:bCs w:val="1"/>
              </w:rPr>
              <w:t xml:space="preserve">CZ-ISCO</w:t>
            </w:r>
          </w:p>
        </w:tc>
        <w:tc>
          <w:tcPr>
            <w:tcW w:w="2000" w:type="dxa"/>
          </w:tcPr>
          <w:p/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Mzdová sféra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Platová sféra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55 527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71 356 Kč</w:t>
            </w:r>
          </w:p>
        </w:tc>
      </w:tr>
      <w:tr>
        <w:trPr/>
        <w:tc>
          <w:tcPr>
            <w:tcW w:w="1000" w:type="dxa"/>
          </w:tcPr>
          <w:p>
            <w:pPr>
              <w:jc w:val="center"/>
            </w:pPr>
            <w:r>
              <w:rPr/>
              <w:t xml:space="preserve">21426</w:t>
            </w:r>
          </w:p>
        </w:tc>
        <w:tc>
          <w:tcPr>
            <w:tcW w:w="2000" w:type="dxa"/>
          </w:tcPr>
          <w:p>
            <w:pPr/>
            <w:r>
              <w:rPr/>
              <w:t xml:space="preserve">Stavební inženýři kontroly a řízení kvality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49 852 Kč</w:t>
            </w:r>
          </w:p>
        </w:tc>
        <w:tc>
          <w:tcPr>
            <w:tcW w:w="1000" w:type="dxa"/>
          </w:tcPr>
          <w:p>
            <w:pPr>
              <w:jc w:val="center"/>
            </w:pPr>
            <w:r>
              <w:rPr/>
              <w:t xml:space="preserve">-</w:t>
            </w:r>
          </w:p>
        </w:tc>
      </w:tr>
    </w:tbl>
    <w:p/>
    <w:p>
      <w:pPr>
        <w:pStyle w:val="Heading2"/>
      </w:pPr>
      <w:bookmarkStart w:id="7" w:name="_Toc7"/>
      <w:r>
        <w:t>ESCO</w:t>
      </w:r>
      <w:bookmarkEnd w:id="7"/>
    </w:p>
    <w:tbl>
      <w:tblGrid>
        <w:gridCol w:w="3000" w:type="dxa"/>
        <w:gridCol w:w="3000" w:type="dxa"/>
        <w:gridCol w:w="3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 podskupiny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 podskupiny v ESCO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URL - podskupiny v ESCO</w:t>
            </w:r>
          </w:p>
        </w:tc>
      </w:tr>
      <w:tr>
        <w:trPr/>
        <w:tc>
          <w:tcPr>
            <w:tcW w:w="3000" w:type="dxa"/>
          </w:tcPr>
          <w:p>
            <w:pPr/>
            <w:r>
              <w:rPr/>
              <w:t xml:space="preserve">2142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inženýři</w:t>
            </w:r>
          </w:p>
        </w:tc>
        <w:tc>
          <w:tcPr>
            <w:tcW w:w="3000" w:type="dxa"/>
          </w:tcPr>
          <w:p>
            <w:pPr/>
            <w:r>
              <w:rPr/>
              <w:t xml:space="preserve">http://data.europa.eu/esco/isco/C2142</w:t>
            </w:r>
          </w:p>
        </w:tc>
      </w:tr>
    </w:tbl>
    <w:p/>
    <w:p/>
    <w:p/>
    <w:p>
      <w:pPr>
        <w:pStyle w:val="Heading2"/>
      </w:pPr>
      <w:bookmarkStart w:id="8" w:name="_Toc8"/>
      <w:r>
        <w:t>Pracovní podmínky</w:t>
      </w:r>
      <w:bookmarkEnd w:id="8"/>
    </w:p>
    <w:p>
      <w:pPr/>
      <w:r>
        <w:rPr/>
        <w:t xml:space="preserve">Rizikové faktory pracovních podmínek a vyskytující se druhy zátěže upravuje nařízení vlády č. 361/2007 Sb., kterým se stanoví podmínky ochrany zdraví při práci, zákon č. 258/2000 Sb., o ochraně veřejného zdraví a zákon č. 262/2006 Sb., zákoník práce. Vždy vyplývají z pracovních podmínek, které se vztahují ke konkrétnímu zaměstnavateli, tudíž se mohou u různých zaměstnavatelů lišit.</w:t>
      </w:r>
    </w:p>
    <w:p/>
    <w:p>
      <w:pPr/>
      <w:r>
        <w:rPr/>
        <w:t xml:space="preserve">Určení míry výskytu faktorů, které mohou ovlivnit zdraví při práci vychází z druhu práce vykonávané na pracovišti. Faktory se zařazují do čtyř kategorií dle míry zdravotního rizika a jeho vlivu na zdraví. O zařazení prací do třetí nebo čtvrté kategorie rozhoduje příslušný orgán ochrany veřejného zdraví.</w:t>
      </w:r>
    </w:p>
    <w:p/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1. Stupeň zátěže (minimální zdravotní riziko) - Faktor se při výkonu práce nevyskytuje nebo je zátěž faktorem minimální, vliv faktoru je ze zdravotního hlediska nevýznamný.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2. Stupeň zátěže (únosná míra zdravotního rizika) - Ze zdravotního hlediska je míra zátěže faktorem únosná, nepřekračuje limity stanovené předpisy, vliv faktoru je akceptovatelný pro zdravého člověka.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3. Stupeň zátěže (významná míra zdravotního rizika) - Úroveň zátěže překračuje stanovené limitní hodnoty expozice (zátěže), na pracovištích je nutná realizace náhradních technických a organizačních opatření, nelze vyloučit negativní vliv na zdraví pracovníků.</w:t>
      </w:r>
    </w:p>
    <w:p>
      <w:pPr>
        <w:numPr>
          <w:ilvl w:val="0"/>
          <w:numId w:val="5"/>
        </w:numPr>
      </w:pPr>
      <w:r>
        <w:rPr>
          <w:sz w:val="16"/>
          <w:szCs w:val="16"/>
          <w:i w:val="1"/>
          <w:iCs w:val="1"/>
        </w:rPr>
        <w:t xml:space="preserve">4. Stupeň zátěže (vysoká míra zdravotního rizika) - Úroveň zátěže vysoce překračuje stanovené limitní hodnoty expozice, na pracovištích musí být dodržován soubor preventivních opatření, častěji dochází k poškození zdraví.</w:t>
      </w:r>
    </w:p>
    <w:p/>
    <w:p/>
    <w:p>
      <w:pPr>
        <w:pStyle w:val="Heading2"/>
      </w:pPr>
      <w:bookmarkStart w:id="9" w:name="_Toc9"/>
      <w:r>
        <w:t>Kvalifikace k výkonu povolání</w:t>
      </w:r>
      <w:bookmarkEnd w:id="9"/>
    </w:p>
    <w:p>
      <w:pPr>
        <w:pStyle w:val="Heading3"/>
      </w:pPr>
      <w:bookmarkStart w:id="10" w:name="_Toc10"/>
      <w:r>
        <w:t>Školní vzdělání</w:t>
      </w:r>
      <w:bookmarkEnd w:id="10"/>
    </w:p>
    <w:p/>
    <w:p>
      <w:pPr>
        <w:pStyle w:val="Heading4"/>
      </w:pPr>
      <w:bookmarkStart w:id="11" w:name="_Toc11"/>
      <w:r>
        <w:t>Nejvhodnější školní přípravu poskytují obory:</w:t>
      </w:r>
      <w:bookmarkEnd w:id="11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stavební inženýrství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3607T</w:t>
            </w:r>
          </w:p>
        </w:tc>
      </w:tr>
    </w:tbl>
    <w:p/>
    <w:p>
      <w:pPr>
        <w:pStyle w:val="Heading4"/>
      </w:pPr>
      <w:bookmarkStart w:id="12" w:name="_Toc12"/>
      <w:r>
        <w:t>Vhodnou školní přípravu poskytují také obory:</w:t>
      </w:r>
      <w:bookmarkEnd w:id="12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Typ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stavebnictví, geodézie a kartografie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36xxT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 oboru architektura a urbanismus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3501T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KKOV</w:t>
            </w:r>
          </w:p>
        </w:tc>
        <w:tc>
          <w:tcPr>
            <w:tcW w:w="5000" w:type="dxa"/>
          </w:tcPr>
          <w:p>
            <w:pPr/>
            <w:r>
              <w:rPr/>
              <w:t xml:space="preserve">Magisterský studijní program ve skupině oborů technická chemie a chemie silikátů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28xxT</w:t>
            </w:r>
          </w:p>
        </w:tc>
      </w:tr>
    </w:tbl>
    <w:p/>
    <w:p>
      <w:pPr>
        <w:pStyle w:val="Heading2"/>
      </w:pPr>
      <w:bookmarkStart w:id="13" w:name="_Toc13"/>
      <w:r>
        <w:t>Kompetenční požadavky</w:t>
      </w:r>
      <w:bookmarkEnd w:id="13"/>
    </w:p>
    <w:p>
      <w:pPr>
        <w:pStyle w:val="Heading3"/>
      </w:pPr>
      <w:bookmarkStart w:id="14" w:name="_Toc14"/>
      <w:r>
        <w:t>Odborné dovednosti</w:t>
      </w:r>
      <w:bookmarkEnd w:id="14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e63.D.3961</w:t>
            </w:r>
          </w:p>
        </w:tc>
        <w:tc>
          <w:tcPr>
            <w:tcW w:w="3000" w:type="dxa"/>
          </w:tcPr>
          <w:p>
            <w:pPr/>
            <w:r>
              <w:rPr/>
              <w:t xml:space="preserve">Posuzování kvality surovin a hodnot parametrů při výrobě stavebních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e63.D.2931</w:t>
            </w:r>
          </w:p>
        </w:tc>
        <w:tc>
          <w:tcPr>
            <w:tcW w:w="3000" w:type="dxa"/>
          </w:tcPr>
          <w:p>
            <w:pPr/>
            <w:r>
              <w:rPr/>
              <w:t xml:space="preserve">Volba postupu práce a technologických podmínek při výrobě stavebních hmot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g11.D.2450</w:t>
            </w:r>
          </w:p>
        </w:tc>
        <w:tc>
          <w:tcPr>
            <w:tcW w:w="3000" w:type="dxa"/>
          </w:tcPr>
          <w:p>
            <w:pPr/>
            <w:r>
              <w:rPr/>
              <w:t xml:space="preserve">Zpracovávání metodik pro provádění technických a technologických zkoušek ve stavební výrobě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g11.D.2352</w:t>
            </w:r>
          </w:p>
        </w:tc>
        <w:tc>
          <w:tcPr>
            <w:tcW w:w="3000" w:type="dxa"/>
          </w:tcPr>
          <w:p>
            <w:pPr/>
            <w:r>
              <w:rPr/>
              <w:t xml:space="preserve">Stanovení a kontrola výrobních plánů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g11.Z.1112</w:t>
            </w:r>
          </w:p>
        </w:tc>
        <w:tc>
          <w:tcPr>
            <w:tcW w:w="3000" w:type="dxa"/>
          </w:tcPr>
          <w:p>
            <w:pPr/>
            <w:r>
              <w:rPr/>
              <w:t xml:space="preserve">Řízení průběhu a návaznosti výroby včetně plynulosti dodávek materiálu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g11.Z.1211</w:t>
            </w:r>
          </w:p>
        </w:tc>
        <w:tc>
          <w:tcPr>
            <w:tcW w:w="3000" w:type="dxa"/>
          </w:tcPr>
          <w:p>
            <w:pPr/>
            <w:r>
              <w:rPr/>
              <w:t xml:space="preserve">Řešení organizačních a provozních problémů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g11.D.3512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provádění zkoušek a měření mechanických, fyzikálních, popř. chemických vlastností surovin, materiálů, polotovarů a výrobků pro stavby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g11.D.3513</w:t>
            </w:r>
          </w:p>
        </w:tc>
        <w:tc>
          <w:tcPr>
            <w:tcW w:w="3000" w:type="dxa"/>
          </w:tcPr>
          <w:p>
            <w:pPr/>
            <w:r>
              <w:rPr/>
              <w:t xml:space="preserve">Kontrola vedení bezpečnostní a požární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g11.D.2513</w:t>
            </w:r>
          </w:p>
        </w:tc>
        <w:tc>
          <w:tcPr>
            <w:tcW w:w="3000" w:type="dxa"/>
          </w:tcPr>
          <w:p>
            <w:pPr/>
            <w:r>
              <w:rPr/>
              <w:t xml:space="preserve">Vedení a kontrola výrobní dokumentace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g11.Z.1511</w:t>
            </w:r>
          </w:p>
        </w:tc>
        <w:tc>
          <w:tcPr>
            <w:tcW w:w="3000" w:type="dxa"/>
          </w:tcPr>
          <w:p>
            <w:pPr/>
            <w:r>
              <w:rPr/>
              <w:t xml:space="preserve">Sestavování operativních plánů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e75.D.1002</w:t>
            </w:r>
          </w:p>
        </w:tc>
        <w:tc>
          <w:tcPr>
            <w:tcW w:w="3000" w:type="dxa"/>
          </w:tcPr>
          <w:p>
            <w:pPr/>
            <w:r>
              <w:rPr/>
              <w:t xml:space="preserve">Čtení a používání technických podkladů – výkresů, návodů a pracovních postupů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5" w:name="_Toc15"/>
      <w:r>
        <w:t>Odborné znalosti</w:t>
      </w:r>
      <w:bookmarkEnd w:id="15"/>
    </w:p>
    <w:tbl>
      <w:tblGrid>
        <w:gridCol w:w="2000" w:type="dxa"/>
        <w:gridCol w:w="3000" w:type="dxa"/>
        <w:gridCol w:w="2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3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1-8</w:t>
            </w:r>
          </w:p>
        </w:tc>
        <w:tc>
          <w:tcPr>
            <w:tcW w:w="2000" w:type="dxa"/>
          </w:tcPr>
          <w:p>
            <w:pPr/>
            <w:r>
              <w:rPr>
                <w:b w:val="1"/>
                <w:bCs w:val="1"/>
              </w:rPr>
              <w:t xml:space="preserve">Vhodnost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g11._.0052</w:t>
            </w:r>
          </w:p>
        </w:tc>
        <w:tc>
          <w:tcPr>
            <w:tcW w:w="3000" w:type="dxa"/>
          </w:tcPr>
          <w:p>
            <w:pPr/>
            <w:r>
              <w:rPr/>
              <w:t xml:space="preserve">systémy a standardy kvality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g11._.0001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technické kreslení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e52._.0016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výroby stavebních hmot, směsí a polotovarů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e52._.0096</w:t>
            </w:r>
          </w:p>
        </w:tc>
        <w:tc>
          <w:tcPr>
            <w:tcW w:w="3000" w:type="dxa"/>
          </w:tcPr>
          <w:p>
            <w:pPr/>
            <w:r>
              <w:rPr/>
              <w:t xml:space="preserve">průmyslová ekologie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g11._.0040</w:t>
            </w:r>
          </w:p>
        </w:tc>
        <w:tc>
          <w:tcPr>
            <w:tcW w:w="3000" w:type="dxa"/>
          </w:tcPr>
          <w:p>
            <w:pPr/>
            <w:r>
              <w:rPr/>
              <w:t xml:space="preserve">technologie stavebních prací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l24._.0022</w:t>
            </w:r>
          </w:p>
        </w:tc>
        <w:tc>
          <w:tcPr>
            <w:tcW w:w="3000" w:type="dxa"/>
          </w:tcPr>
          <w:p>
            <w:pPr/>
            <w:r>
              <w:rPr/>
              <w:t xml:space="preserve">bezpečnost práce a požární ochrana ve stavebnictví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g11._.0097</w:t>
            </w:r>
          </w:p>
        </w:tc>
        <w:tc>
          <w:tcPr>
            <w:tcW w:w="3000" w:type="dxa"/>
          </w:tcPr>
          <w:p>
            <w:pPr/>
            <w:r>
              <w:rPr/>
              <w:t xml:space="preserve">nakládání s odpady a recyklace stavebních materiálů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g11._.0098</w:t>
            </w:r>
          </w:p>
        </w:tc>
        <w:tc>
          <w:tcPr>
            <w:tcW w:w="3000" w:type="dxa"/>
          </w:tcPr>
          <w:p>
            <w:pPr/>
            <w:r>
              <w:rPr/>
              <w:t xml:space="preserve">ekonomika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g11._.0090</w:t>
            </w:r>
          </w:p>
        </w:tc>
        <w:tc>
          <w:tcPr>
            <w:tcW w:w="3000" w:type="dxa"/>
          </w:tcPr>
          <w:p>
            <w:pPr/>
            <w:r>
              <w:rPr/>
              <w:t xml:space="preserve">příprava stavební výroby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g11._.0003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technologie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g11._.0002</w:t>
            </w:r>
          </w:p>
        </w:tc>
        <w:tc>
          <w:tcPr>
            <w:tcW w:w="3000" w:type="dxa"/>
          </w:tcPr>
          <w:p>
            <w:pPr/>
            <w:r>
              <w:rPr/>
              <w:t xml:space="preserve">druhy staveb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g11._.0021</w:t>
            </w:r>
          </w:p>
        </w:tc>
        <w:tc>
          <w:tcPr>
            <w:tcW w:w="3000" w:type="dxa"/>
          </w:tcPr>
          <w:p>
            <w:pPr/>
            <w:r>
              <w:rPr/>
              <w:t xml:space="preserve">stavební materiály a jejich vlastnosti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7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Nutné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https://nsp.cz/downloads/Priloha_c2_manualu.pdf</w:t>
      </w:r>
    </w:p>
    <w:p/>
    <w:p>
      <w:pPr>
        <w:pStyle w:val="Heading3"/>
      </w:pPr>
      <w:bookmarkStart w:id="16" w:name="_Toc16"/>
      <w:r>
        <w:t>Digitální kompetence</w:t>
      </w:r>
      <w:bookmarkEnd w:id="16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1-4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Prohlížení, vyhledávání a filtrování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5.3</w:t>
            </w:r>
          </w:p>
        </w:tc>
        <w:tc>
          <w:tcPr>
            <w:tcW w:w="5000" w:type="dxa"/>
          </w:tcPr>
          <w:p>
            <w:pPr/>
            <w:r>
              <w:rPr/>
              <w:t xml:space="preserve">Kreativní využívání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5.2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potřeb a výběr vhodných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5.1</w:t>
            </w:r>
          </w:p>
        </w:tc>
        <w:tc>
          <w:tcPr>
            <w:tcW w:w="5000" w:type="dxa"/>
          </w:tcPr>
          <w:p>
            <w:pPr/>
            <w:r>
              <w:rPr/>
              <w:t xml:space="preserve">Řešení technických problémů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životního prostředí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4.3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zdraví a duševní pohody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osobních dat a soukromí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Ochrana zařízení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Autorská práva a licence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3.2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Integrace a přepracování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3.1</w:t>
            </w:r>
          </w:p>
        </w:tc>
        <w:tc>
          <w:tcPr>
            <w:tcW w:w="5000" w:type="dxa"/>
          </w:tcPr>
          <w:p>
            <w:pPr/>
            <w:r>
              <w:rPr/>
              <w:t xml:space="preserve">Tvorba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2.5</w:t>
            </w:r>
          </w:p>
        </w:tc>
        <w:tc>
          <w:tcPr>
            <w:tcW w:w="5000" w:type="dxa"/>
          </w:tcPr>
          <w:p>
            <w:pPr/>
            <w:r>
              <w:rPr/>
              <w:t xml:space="preserve">Netiketa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Spolupráce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Sdílení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Interakce prostřednictvím digitálních technologií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2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Správa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Hodnocení dat, informací a digitálního obsahu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5.4</w:t>
            </w:r>
          </w:p>
        </w:tc>
        <w:tc>
          <w:tcPr>
            <w:tcW w:w="5000" w:type="dxa"/>
          </w:tcPr>
          <w:p>
            <w:pPr/>
            <w:r>
              <w:rPr/>
              <w:t xml:space="preserve">Identifikace nedostatků v digitálních kompetencích  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https://nsp.cz/downloads/Priloha_c15_manualu.pdf</w:t>
      </w:r>
    </w:p>
    <w:p/>
    <w:p>
      <w:pPr>
        <w:pStyle w:val="Heading3"/>
      </w:pPr>
      <w:bookmarkStart w:id="17" w:name="_Toc17"/>
      <w:r>
        <w:t>Měkké kompetence</w:t>
      </w:r>
      <w:bookmarkEnd w:id="17"/>
    </w:p>
    <w:tbl>
      <w:tblGrid>
        <w:gridCol w:w="2000" w:type="dxa"/>
        <w:gridCol w:w="5000" w:type="dxa"/>
        <w:gridCol w:w="2000" w:type="dxa"/>
      </w:tblGrid>
      <w:tblPr>
        <w:jc w:val="start"/>
        <w:tblW w:w="0" w:type="auto"/>
        <w:tblCellSpacing w:w="50" w:type="dxa"/>
        <w:tblLayout w:type="autofit"/>
        <w:bidiVisual w:val="0"/>
        <w:tblCellMar>
          <w:top w:w="80" w:type="dxa"/>
          <w:left w:w="80" w:type="dxa"/>
          <w:right w:w="80" w:type="dxa"/>
          <w:bottom w:w="80" w:type="dxa"/>
        </w:tblCellMar>
      </w:tblPr>
      <w:tr>
        <w:trPr/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Kód</w:t>
            </w:r>
          </w:p>
        </w:tc>
        <w:tc>
          <w:tcPr>
            <w:tcW w:w="5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Název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>
                <w:b w:val="1"/>
                <w:bCs w:val="1"/>
              </w:rPr>
              <w:t xml:space="preserve">Úroveň 0-5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efektivní komunikaci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vedení lidí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3.3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objevování a orientaci v informacích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3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zvládání stresu a zátěže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aktivnímu přístupu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1.1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celoživotnímu vzdělávání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4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plánování a organizování práce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řešení problémů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5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4.5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samostatnosti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4.6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výkonnosti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orientaci na zákazníka a uspokojování zákaznických potřeb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flexibilitě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1.3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kreativitě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2.2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ke kooperaci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  <w:tr>
        <w:trPr/>
        <w:tc>
          <w:tcPr>
            <w:tcW w:w="2000" w:type="dxa"/>
          </w:tcPr>
          <w:p>
            <w:pPr>
              <w:jc w:val="center"/>
            </w:pPr>
            <w:r>
              <w:rPr/>
              <w:t xml:space="preserve">2.4</w:t>
            </w:r>
          </w:p>
        </w:tc>
        <w:tc>
          <w:tcPr>
            <w:tcW w:w="5000" w:type="dxa"/>
          </w:tcPr>
          <w:p>
            <w:pPr/>
            <w:r>
              <w:rPr/>
              <w:t xml:space="preserve">Kompetence k ovlivňování a rozvíjení ostatních</w:t>
            </w:r>
          </w:p>
        </w:tc>
        <w:tc>
          <w:tcPr>
            <w:tcW w:w="2000" w:type="dxa"/>
          </w:tcPr>
          <w:p>
            <w:pPr>
              <w:jc w:val="center"/>
            </w:pPr>
            <w:r>
              <w:rPr/>
              <w:t xml:space="preserve">0</w:t>
            </w:r>
          </w:p>
        </w:tc>
      </w:tr>
    </w:tbl>
    <w:p>
      <w:pPr/>
      <w:r>
        <w:rPr>
          <w:sz w:val="16"/>
          <w:szCs w:val="16"/>
          <w:i w:val="1"/>
          <w:iCs w:val="1"/>
        </w:rPr>
        <w:t xml:space="preserve">Popisy úrovní naleznete zde: https://nsp.cz/downloads/Priloha_c9_manualu.pdf</w:t>
      </w:r>
    </w:p>
    <w:p/>
    <w:p>
      <w:pPr>
        <w:pStyle w:val="Heading2"/>
      </w:pPr>
      <w:bookmarkStart w:id="18" w:name="_Toc18"/>
      <w:r>
        <w:t>Zdravotní podmínky</w:t>
      </w:r>
      <w:bookmarkEnd w:id="18"/>
    </w:p>
    <w:p>
      <w:pPr>
        <w:pStyle w:val="Heading3"/>
      </w:pPr>
      <w:bookmarkStart w:id="19" w:name="_Toc19"/>
      <w:r>
        <w:t>Onemocnění omezující výkon povolání / specializace povolání.</w:t>
      </w:r>
      <w:bookmarkEnd w:id="19"/>
    </w:p>
    <w:p>
      <w:pPr>
        <w:numPr>
          <w:ilvl w:val="0"/>
          <w:numId w:val="5"/>
        </w:numPr>
      </w:pPr>
      <w:r>
        <w:rPr/>
        <w:t xml:space="preserve">Duševní poruchy a poruchy chování</w:t>
      </w:r>
    </w:p>
    <w:p>
      <w:pPr/>
      <w:r>
        <w:rPr>
          <w:sz w:val="16"/>
          <w:szCs w:val="16"/>
          <w:i w:val="1"/>
          <w:iCs w:val="1"/>
        </w:rPr>
        <w:t xml:space="preserve">Přesné posouzení zdravotního stavu s následným doporučením nebo nedoporučením výkonu této pozice je možné pouze po konzultaci s lékařem.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5">
    <w:nsid w:val="1EFCF3BC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5">
    <w:abstractNumId w:val="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spacing w:after="120"/>
    </w:pPr>
    <w:rPr>
      <w:sz w:val="40"/>
      <w:szCs w:val="40"/>
      <w:b w:val="1"/>
      <w:bCs w:val="1"/>
    </w:rPr>
  </w:style>
  <w:style w:type="paragraph" w:styleId="Heading2">
    <w:link w:val="Heading2Char"/>
    <w:name w:val="heading 2"/>
    <w:basedOn w:val="Normal"/>
    <w:pPr>
      <w:spacing w:after="80"/>
    </w:pPr>
    <w:rPr>
      <w:sz w:val="28"/>
      <w:szCs w:val="28"/>
      <w:b w:val="1"/>
      <w:bCs w:val="1"/>
    </w:rPr>
  </w:style>
  <w:style w:type="paragraph" w:styleId="Heading3">
    <w:link w:val="Heading3Char"/>
    <w:name w:val="heading 3"/>
    <w:basedOn w:val="Normal"/>
    <w:pPr>
      <w:spacing w:after="60"/>
    </w:pPr>
    <w:rPr>
      <w:sz w:val="24"/>
      <w:szCs w:val="24"/>
      <w:b w:val="1"/>
      <w:bCs w:val="1"/>
    </w:rPr>
  </w:style>
  <w:style w:type="paragraph" w:styleId="Heading4">
    <w:link w:val="Heading4Char"/>
    <w:name w:val="heading 4"/>
    <w:basedOn w:val="Normal"/>
    <w:pPr>
      <w:spacing w:after="6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FDV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NSP.CZ</dc:creator>
  <dc:title>Stavební inženýr výroby stavebních hmot a výrobků</dc:title>
  <dc:description>Stavební inženýr výroby stavebních hmot a výrobků řídí a organizuje výrobu stavebních hmot a stavebních výrobků.</dc:description>
  <dc:subject/>
  <cp:keywords/>
  <cp:category>Povolání</cp:category>
  <cp:lastModifiedBy/>
  <dcterms:created xsi:type="dcterms:W3CDTF">2017-11-22T09:21:24+01:00</dcterms:created>
  <dcterms:modified xsi:type="dcterms:W3CDTF">2024-03-26T10:03:33+01:00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