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úpravy vody</w:t>
      </w:r>
      <w:bookmarkEnd w:id="1"/>
    </w:p>
    <w:p>
      <w:pPr/>
      <w:r>
        <w:rPr/>
        <w:t xml:space="preserve">Vodárenský specialista úpravy vody komplexně řídí a organizuje úkoly v oblasti výroby pitné vody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úpraven vody.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vody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úpravy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úpraven vod.</w:t>
      </w:r>
    </w:p>
    <w:p>
      <w:pPr>
        <w:numPr>
          <w:ilvl w:val="0"/>
          <w:numId w:val="5"/>
        </w:numPr>
      </w:pPr>
      <w:r>
        <w:rPr/>
        <w:t xml:space="preserve">Kontrola ukazatelů kvality upravené vody a kontrola množství dodávané pitné vody.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úpraven vody.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výroby vody.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Spolupráce při řešení stížností na kvalitu a dodávky pitné vody.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vodohospodářské soustavy a provozu úpraven vody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502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úpravy vody</dc:title>
  <dc:description>Vodárenský specialista úpravy vody komplexně řídí a organizuje úkoly v oblasti výroby pitné vody a zabezpečuje koncepci jejího rozvoje.</dc:description>
  <dc:subject/>
  <cp:keywords/>
  <cp:category>Specializace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