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 pro povrchovou úpravu nábytku</w:t>
      </w:r>
      <w:bookmarkEnd w:id="1"/>
    </w:p>
    <w:p>
      <w:pPr/>
      <w:r>
        <w:rPr/>
        <w:t xml:space="preserve">Pracovník pro povrchovou úpravu nábytku provádí finální povrchovou úpravu nábytku, nábytkových nebo stavebně truhlářských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Lakýrník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metod, prostředků a materiálů pro povrchovou úpravu.</w:t>
      </w:r>
    </w:p>
    <w:p>
      <w:pPr>
        <w:numPr>
          <w:ilvl w:val="0"/>
          <w:numId w:val="5"/>
        </w:numPr>
      </w:pPr>
      <w:r>
        <w:rPr/>
        <w:t xml:space="preserve">Příprava aplikačního zařízení v závislosti na určeném způsobu povrchové úpravy.</w:t>
      </w:r>
    </w:p>
    <w:p>
      <w:pPr>
        <w:numPr>
          <w:ilvl w:val="0"/>
          <w:numId w:val="5"/>
        </w:numPr>
      </w:pPr>
      <w:r>
        <w:rPr/>
        <w:t xml:space="preserve">Výběr a příprava dokončovacího materiálu dle stanoveného technologického postupu.</w:t>
      </w:r>
    </w:p>
    <w:p>
      <w:pPr>
        <w:numPr>
          <w:ilvl w:val="0"/>
          <w:numId w:val="5"/>
        </w:numPr>
      </w:pPr>
      <w:r>
        <w:rPr/>
        <w:t xml:space="preserve">Oprava vad tmelením a broušením.</w:t>
      </w:r>
    </w:p>
    <w:p>
      <w:pPr>
        <w:numPr>
          <w:ilvl w:val="0"/>
          <w:numId w:val="5"/>
        </w:numPr>
      </w:pPr>
      <w:r>
        <w:rPr/>
        <w:t xml:space="preserve">Úprava a dokončení povrchu netradičními způsoby zvýrazňujícími kresbu dřeva dle technologického postupu.</w:t>
      </w:r>
    </w:p>
    <w:p>
      <w:pPr>
        <w:numPr>
          <w:ilvl w:val="0"/>
          <w:numId w:val="5"/>
        </w:numPr>
      </w:pPr>
      <w:r>
        <w:rPr/>
        <w:t xml:space="preserve">Aplikace dokončovacího materiálu na povrch nábytku nebo nábytkových dílců dle stanoveného technologického postupu.</w:t>
      </w:r>
    </w:p>
    <w:p>
      <w:pPr>
        <w:numPr>
          <w:ilvl w:val="0"/>
          <w:numId w:val="5"/>
        </w:numPr>
      </w:pPr>
      <w:r>
        <w:rPr/>
        <w:t xml:space="preserve">Kontrola výrobků určených k dokončení, odstranění případných nečistot a prachu.</w:t>
      </w:r>
    </w:p>
    <w:p>
      <w:pPr>
        <w:numPr>
          <w:ilvl w:val="0"/>
          <w:numId w:val="5"/>
        </w:numPr>
      </w:pPr>
      <w:r>
        <w:rPr/>
        <w:t xml:space="preserve">Kontrola provedené povrchové úpravy.</w:t>
      </w:r>
    </w:p>
    <w:p>
      <w:pPr>
        <w:numPr>
          <w:ilvl w:val="0"/>
          <w:numId w:val="5"/>
        </w:numPr>
      </w:pPr>
      <w:r>
        <w:rPr/>
        <w:t xml:space="preserve">Čištění, výměna a údržba aplikačního zařízení, nářadí a pracovních prostředků.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 natěrači dřevěných výrobků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povrchovou úpravu nábytku (33-019-H)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nanášením nátěrových hmot;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dřevařské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výrobků mořením, bělením, voskováním, imitováním dřeva, nanášením tmelů, emailů a 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 pro lakování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pro lakýrnické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a broušení tmelených ploch při lakýrnických a natěračských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g11.D.1184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pro lakýrnické a natěračské práce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nábytku, nábytkových a stavebně truhlářských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3C67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 pro povrchovou úpravu nábytku</dc:title>
  <dc:description>Pracovník pro povrchovou úpravu nábytku provádí finální povrchovou úpravu nábytku, nábytkových nebo stavebně truhlářských dílců.</dc:description>
  <dc:subject/>
  <cp:keywords/>
  <cp:category>Povolání</cp:category>
  <cp:lastModifiedBy/>
  <dcterms:created xsi:type="dcterms:W3CDTF">2017-11-22T09:20:44+01:00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