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Bezpečnostní manažer v obchodě a službách</w:t>
      </w:r>
      <w:bookmarkEnd w:id="1"/>
    </w:p>
    <w:p>
      <w:pPr/>
      <w:r>
        <w:rPr/>
        <w:t xml:space="preserve">Bezpečnostní manažer v obchodě a službách předvídá, analyzuje a odvrací stávající i budoucí rizika ohrožující obchodní společnost a vytváří postupy a procesy k prevenci, resp. minimalizaci rizik ztrát na majetku či zdraví zaměstnanců nebo zákazníků.</w:t>
      </w:r>
    </w:p>
    <w:p/>
    <w:tbl>
      <w:tblGrid>
        <w:gridCol w:w="3000" w:type="dxa"/>
        <w:gridCol w:w="6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/>
            <w:r>
              <w:rPr>
                <w:b w:val="1"/>
                <w:bCs w:val="1"/>
              </w:rPr>
              <w:t xml:space="preserve">Odborný směr:</w:t>
            </w:r>
          </w:p>
        </w:tc>
        <w:tc>
          <w:tcPr>
            <w:tcW w:w="6000" w:type="dxa"/>
          </w:tcPr>
          <w:p>
            <w:pPr/>
            <w:r>
              <w:rPr/>
              <w:t xml:space="preserve">Ochrana majetku, osob a zdraví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Odborný podsměr:</w:t>
            </w:r>
          </w:p>
        </w:tc>
        <w:tc>
          <w:tcPr/>
          <w:p>
            <w:pPr/>
            <w:r>
              <w:rPr/>
              <w:t xml:space="preserve">technické bezpečnostní služby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Kvalifikační úroveň:</w:t>
            </w:r>
          </w:p>
        </w:tc>
        <w:tc>
          <w:tcPr/>
          <w:p>
            <w:pPr/>
            <w:r>
              <w:rPr/>
              <w:t xml:space="preserve">Magisterský studijní program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Alternativní názvy:</w:t>
            </w:r>
          </w:p>
        </w:tc>
        <w:tc>
          <w:tcPr/>
          <w:p>
            <w:pPr/>
            <w:r>
              <w:rPr/>
              <w:t xml:space="preserve">Manažer vnitřní bezpečnostní služby, Manažer bezpečnostního a krizového řízení, Security Manager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Nadřízené povolání:</w:t>
            </w:r>
          </w:p>
        </w:tc>
        <w:tc>
          <w:tcPr/>
          <w:p>
            <w:pPr/>
            <w:r>
              <w:rPr/>
              <w:t xml:space="preserve">Vedoucí bezpečnostní pracovník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Příbuzné specializace:</w:t>
            </w:r>
          </w:p>
        </w:tc>
        <w:tc>
          <w:tcPr/>
          <w:p>
            <w:pPr/>
            <w:r>
              <w:rPr/>
              <w:t xml:space="preserve">Vedoucí detektiv, Specialista bezpečnostního a krizového řízení, Bezpečnostní manažer v obchodě a službách, Specialista bezpečnostního a krizového řízení</w:t>
            </w:r>
          </w:p>
        </w:tc>
      </w:tr>
      <w:tr>
        <w:trPr/>
        <w:tc>
          <w:tcPr/>
          <w:p>
            <w:pPr/>
            <w:r>
              <w:rPr>
                <w:b w:val="1"/>
                <w:bCs w:val="1"/>
              </w:rPr>
              <w:t xml:space="preserve">Regulovaná jednotka práce:</w:t>
            </w:r>
          </w:p>
        </w:tc>
        <w:tc>
          <w:tcPr/>
          <w:p>
            <w:pPr/>
            <w:r>
              <w:rPr/>
              <w:t xml:space="preserve">ne</w:t>
            </w:r>
          </w:p>
        </w:tc>
      </w:tr>
    </w:tbl>
    <w:p/>
    <w:p>
      <w:pPr>
        <w:pStyle w:val="Heading2"/>
      </w:pPr>
      <w:bookmarkStart w:id="2" w:name="_Toc2"/>
      <w:r>
        <w:t>Pracovní činnosti</w:t>
      </w:r>
      <w:bookmarkEnd w:id="2"/>
    </w:p>
    <w:p>
      <w:pPr>
        <w:numPr>
          <w:ilvl w:val="0"/>
          <w:numId w:val="5"/>
        </w:numPr>
      </w:pPr>
      <w:r>
        <w:rPr/>
        <w:t xml:space="preserve">Návrh bezpečnostní politiky obchodní společnosti a její zavedení.</w:t>
      </w:r>
    </w:p>
    <w:p>
      <w:pPr>
        <w:numPr>
          <w:ilvl w:val="0"/>
          <w:numId w:val="5"/>
        </w:numPr>
      </w:pPr>
      <w:r>
        <w:rPr/>
        <w:t xml:space="preserve">Zajištění ochrany majetku, informací a dat obchodní společnosti a prevence jejich ztrát.</w:t>
      </w:r>
    </w:p>
    <w:p>
      <w:pPr>
        <w:numPr>
          <w:ilvl w:val="0"/>
          <w:numId w:val="5"/>
        </w:numPr>
      </w:pPr>
      <w:r>
        <w:rPr/>
        <w:t xml:space="preserve">Zajištění bezpečnosti zaměstnanců, zákazníků a dalších osob v prostorách obchodní společnosti a prevence úrazů.</w:t>
      </w:r>
    </w:p>
    <w:p>
      <w:pPr>
        <w:numPr>
          <w:ilvl w:val="0"/>
          <w:numId w:val="5"/>
        </w:numPr>
      </w:pPr>
      <w:r>
        <w:rPr/>
        <w:t xml:space="preserve">Tvorba interních bezpečnostních norem, zásad a postupů včetně zajištění souladu s normami EN, ČSN, národními a mezinárodními standardy v oblasti bezpečnosti a ochrany.</w:t>
      </w:r>
    </w:p>
    <w:p>
      <w:pPr>
        <w:numPr>
          <w:ilvl w:val="0"/>
          <w:numId w:val="5"/>
        </w:numPr>
      </w:pPr>
      <w:r>
        <w:rPr/>
        <w:t xml:space="preserve">Provádění pravidelných odborných školení pro zaměstnance a dodavatele.</w:t>
      </w:r>
    </w:p>
    <w:p>
      <w:pPr>
        <w:numPr>
          <w:ilvl w:val="0"/>
          <w:numId w:val="5"/>
        </w:numPr>
      </w:pPr>
      <w:r>
        <w:rPr/>
        <w:t xml:space="preserve">Výběr a organizace bezpečnostních služeb dodávaných externě (služby bezpečnostní agentury, dodávky bezpečnostních technologií).</w:t>
      </w:r>
    </w:p>
    <w:p>
      <w:pPr>
        <w:numPr>
          <w:ilvl w:val="0"/>
          <w:numId w:val="5"/>
        </w:numPr>
      </w:pPr>
      <w:r>
        <w:rPr/>
        <w:t xml:space="preserve">Příprava, realizace a kontrola bezpečnostních projektů v obchodní společnosti.</w:t>
      </w:r>
    </w:p>
    <w:p>
      <w:pPr>
        <w:numPr>
          <w:ilvl w:val="0"/>
          <w:numId w:val="5"/>
        </w:numPr>
      </w:pPr>
      <w:r>
        <w:rPr/>
        <w:t xml:space="preserve">Analýza stávajících a budoucích rizik a návrh opatření na jejich minimalizaci.</w:t>
      </w:r>
    </w:p>
    <w:p>
      <w:pPr>
        <w:numPr>
          <w:ilvl w:val="0"/>
          <w:numId w:val="5"/>
        </w:numPr>
      </w:pPr>
      <w:r>
        <w:rPr/>
        <w:t xml:space="preserve">Realizace opatření pro omezení vnitropodnikové kriminality.</w:t>
      </w:r>
    </w:p>
    <w:p>
      <w:pPr>
        <w:numPr>
          <w:ilvl w:val="0"/>
          <w:numId w:val="5"/>
        </w:numPr>
      </w:pPr>
      <w:r>
        <w:rPr/>
        <w:t xml:space="preserve">Návrh a koordinace postupů krizového řízení.</w:t>
      </w:r>
    </w:p>
    <w:p>
      <w:pPr>
        <w:numPr>
          <w:ilvl w:val="0"/>
          <w:numId w:val="5"/>
        </w:numPr>
      </w:pPr>
      <w:r>
        <w:rPr/>
        <w:t xml:space="preserve">Správa plánu kontinuity řízení činností organizace.</w:t>
      </w:r>
    </w:p>
    <w:p>
      <w:pPr>
        <w:numPr>
          <w:ilvl w:val="0"/>
          <w:numId w:val="5"/>
        </w:numPr>
      </w:pPr>
      <w:r>
        <w:rPr/>
        <w:t xml:space="preserve">Poskytování podkladů, zpráv a doporučení pro vedení obchodní společnosti.</w:t>
      </w:r>
    </w:p>
    <w:p/>
    <w:p>
      <w:pPr>
        <w:pStyle w:val="Heading2"/>
      </w:pPr>
      <w:bookmarkStart w:id="3" w:name="_Toc3"/>
      <w:r>
        <w:t>CZ-ISCO</w:t>
      </w:r>
      <w:bookmarkEnd w:id="3"/>
    </w:p>
    <w:p>
      <w:pPr>
        <w:numPr>
          <w:ilvl w:val="0"/>
          <w:numId w:val="5"/>
        </w:numPr>
      </w:pPr>
      <w:r>
        <w:rPr/>
        <w:t xml:space="preserve">Specialisté v oblasti bezpečnostních systémů a ochrany údajů (kromě zabezpečení IT)</w:t>
      </w:r>
    </w:p>
    <w:p>
      <w:pPr>
        <w:numPr>
          <w:ilvl w:val="0"/>
          <w:numId w:val="5"/>
        </w:numPr>
      </w:pPr>
      <w:r>
        <w:rPr/>
        <w:t xml:space="preserve">Specialisté v oblasti průmyslového inženýrství a v příbuzných oblastech</w:t>
      </w:r>
    </w:p>
    <w:p/>
    <w:p>
      <w:pPr>
        <w:pStyle w:val="Heading3"/>
      </w:pPr>
      <w:bookmarkStart w:id="4" w:name="_Toc4"/>
      <w:r>
        <w:t>Hrubé měsíční mzdy podle krajů v roce 2023</w:t>
      </w:r>
      <w:bookmarkEnd w:id="4"/>
    </w:p>
    <w:p>
      <w:pPr>
        <w:pStyle w:val="Heading4"/>
      </w:pPr>
      <w:bookmarkStart w:id="5" w:name="_Toc5"/>
      <w:r>
        <w:t>Specialisté v oblasti průmyslového inženýrství a v příbuzných oblastech (CZ-ISCO 2141)</w:t>
      </w:r>
      <w:bookmarkEnd w:id="5"/>
    </w:p>
    <w:tbl>
      <w:tblGrid>
        <w:gridCol w:w="2400" w:type="dxa"/>
        <w:gridCol w:w="1100" w:type="dxa"/>
        <w:gridCol w:w="1100" w:type="dxa"/>
        <w:gridCol w:w="1100" w:type="dxa"/>
        <w:gridCol w:w="1100" w:type="dxa"/>
        <w:gridCol w:w="1100" w:type="dxa"/>
        <w:gridCol w:w="11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400" w:type="dxa"/>
          </w:tcPr>
          <w:p/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300" w:type="dxa"/>
            <w:gridSpan w:val="3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2400" w:type="dxa"/>
          </w:tcPr>
          <w:p>
            <w:pPr/>
            <w:r>
              <w:rPr>
                <w:b w:val="1"/>
                <w:bCs w:val="1"/>
              </w:rPr>
              <w:t xml:space="preserve">Kraj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Od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</w:t>
            </w:r>
          </w:p>
        </w:tc>
        <w:tc>
          <w:tcPr>
            <w:tcW w:w="11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Do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Hlavní město Praha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41 618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60 320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sz w:val="16"/>
                <w:szCs w:val="16"/>
              </w:rPr>
              <w:t xml:space="preserve">108 840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42 741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56 808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78 184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Středočeský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39 583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60 317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sz w:val="16"/>
                <w:szCs w:val="16"/>
              </w:rPr>
              <w:t xml:space="preserve">102 166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32 046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42 191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53 707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Jihočeský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41 913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56 636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96 645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Plzeňský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40 845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54 330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86 806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35 761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43 422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50 408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Karlovarský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37 473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54 757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89 627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Ústecký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40 113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56 201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95 008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36 664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46 966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57 002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Liberecký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33 704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56 431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90 330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35 106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43 910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56 346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Královéhradecký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42 577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54 572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87 798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Pardubický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35 170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49 543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76 465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40 655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50 799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63 478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Kraj Vysočina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38 950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55 820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98 759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Jihomoravský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38 804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53 492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99 895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36 988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48 680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63 701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Olomoucký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40 694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52 729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78 036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36 436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48 552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67 748 Kč</w:t>
            </w:r>
          </w:p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Zlínský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39 596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49 055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75 161 Kč</w:t>
            </w:r>
          </w:p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  <w:tc>
          <w:tcPr>
            <w:tcW w:w="1000" w:type="dxa"/>
          </w:tcPr>
          <w:p/>
        </w:tc>
      </w:tr>
      <w:tr>
        <w:trPr/>
        <w:tc>
          <w:tcPr>
            <w:tcW w:w="2000" w:type="dxa"/>
          </w:tcPr>
          <w:p>
            <w:pPr/>
            <w:r>
              <w:rPr/>
              <w:t xml:space="preserve">Moravskoslezský kraj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39 056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56 999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95 831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35 996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51 077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63 661 Kč</w:t>
            </w:r>
          </w:p>
        </w:tc>
      </w:tr>
    </w:tbl>
    <w:p/>
    <w:p>
      <w:pPr>
        <w:pStyle w:val="Heading3"/>
      </w:pPr>
      <w:bookmarkStart w:id="6" w:name="_Toc6"/>
      <w:r>
        <w:t>Hrubé měsíční mzdy v roce 2023 celkem</w:t>
      </w:r>
      <w:bookmarkEnd w:id="6"/>
    </w:p>
    <w:tbl>
      <w:tblGrid>
        <w:gridCol w:w="1000" w:type="dxa"/>
        <w:gridCol w:w="2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  <w:gridSpan w:val="2"/>
          </w:tcPr>
          <w:p/>
        </w:tc>
        <w:tc>
          <w:tcPr>
            <w:tcW w:w="6000" w:type="dxa"/>
            <w:gridSpan w:val="2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Medián za ČR celkem</w:t>
            </w:r>
          </w:p>
        </w:tc>
      </w:tr>
      <w:tr>
        <w:trPr/>
        <w:tc>
          <w:tcPr>
            <w:tcW w:w="1000" w:type="dxa"/>
          </w:tcPr>
          <w:p>
            <w:pPr/>
            <w:r>
              <w:rPr>
                <w:b w:val="1"/>
                <w:bCs w:val="1"/>
              </w:rPr>
              <w:t xml:space="preserve">CZ-ISCO</w:t>
            </w:r>
          </w:p>
        </w:tc>
        <w:tc>
          <w:tcPr>
            <w:tcW w:w="2000" w:type="dxa"/>
          </w:tcPr>
          <w:p/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Mzdová sféra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Platová sféra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2141</w:t>
            </w:r>
          </w:p>
        </w:tc>
        <w:tc>
          <w:tcPr>
            <w:tcW w:w="2000" w:type="dxa"/>
          </w:tcPr>
          <w:p>
            <w:pPr/>
            <w:r>
              <w:rPr/>
              <w:t xml:space="preserve">Specialisté v oblasti průmyslového inženýrství a v příbuzných oblastech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50 558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56 515 Kč</w:t>
            </w:r>
          </w:p>
        </w:tc>
      </w:tr>
      <w:tr>
        <w:trPr/>
        <w:tc>
          <w:tcPr>
            <w:tcW w:w="1000" w:type="dxa"/>
          </w:tcPr>
          <w:p>
            <w:pPr>
              <w:jc w:val="center"/>
            </w:pPr>
            <w:r>
              <w:rPr/>
              <w:t xml:space="preserve">21416</w:t>
            </w:r>
          </w:p>
        </w:tc>
        <w:tc>
          <w:tcPr>
            <w:tcW w:w="2000" w:type="dxa"/>
          </w:tcPr>
          <w:p>
            <w:pPr/>
            <w:r>
              <w:rPr/>
              <w:t xml:space="preserve">Specialisté v oblasti bezpečnostních systémů a ochrany údajů (kromě zabezpečení IT)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54 261 Kč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75 171 Kč</w:t>
            </w:r>
          </w:p>
        </w:tc>
      </w:tr>
    </w:tbl>
    <w:p/>
    <w:p>
      <w:pPr>
        <w:pStyle w:val="Heading2"/>
      </w:pPr>
      <w:bookmarkStart w:id="7" w:name="_Toc7"/>
      <w:r>
        <w:t>ESCO</w:t>
      </w:r>
      <w:bookmarkEnd w:id="7"/>
    </w:p>
    <w:tbl>
      <w:tblGrid>
        <w:gridCol w:w="3000" w:type="dxa"/>
        <w:gridCol w:w="3000" w:type="dxa"/>
        <w:gridCol w:w="3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 podskupiny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 podskupiny v ESCO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URL - podskupiny v ESCO</w:t>
            </w:r>
          </w:p>
        </w:tc>
      </w:tr>
      <w:tr>
        <w:trPr/>
        <w:tc>
          <w:tcPr>
            <w:tcW w:w="3000" w:type="dxa"/>
          </w:tcPr>
          <w:p>
            <w:pPr/>
            <w:r>
              <w:rPr/>
              <w:t xml:space="preserve">2141</w:t>
            </w:r>
          </w:p>
        </w:tc>
        <w:tc>
          <w:tcPr>
            <w:tcW w:w="3000" w:type="dxa"/>
          </w:tcPr>
          <w:p>
            <w:pPr/>
            <w:r>
              <w:rPr/>
              <w:t xml:space="preserve">Inženýři v průmyslu a ve výrobě</w:t>
            </w:r>
          </w:p>
        </w:tc>
        <w:tc>
          <w:tcPr>
            <w:tcW w:w="3000" w:type="dxa"/>
          </w:tcPr>
          <w:p>
            <w:pPr/>
            <w:r>
              <w:rPr/>
              <w:t xml:space="preserve">http://data.europa.eu/esco/isco/C2141</w:t>
            </w:r>
          </w:p>
        </w:tc>
      </w:tr>
    </w:tbl>
    <w:p/>
    <w:p/>
    <w:p/>
    <w:p>
      <w:pPr>
        <w:pStyle w:val="Heading2"/>
      </w:pPr>
      <w:bookmarkStart w:id="8" w:name="_Toc8"/>
      <w:r>
        <w:t>Pracovní podmínky</w:t>
      </w:r>
      <w:bookmarkEnd w:id="8"/>
    </w:p>
    <w:tbl>
      <w:tblGrid>
        <w:gridCol w:w="5000" w:type="dxa"/>
        <w:gridCol w:w="1000" w:type="dxa"/>
        <w:gridCol w:w="1000" w:type="dxa"/>
        <w:gridCol w:w="1000" w:type="dxa"/>
        <w:gridCol w:w="1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1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2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3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4</w:t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Duševní zátěž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Zraková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obecného ohrožení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Pracovní doba, směnnost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hlukem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vibracemi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prachem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chemickými látkami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invazivními alergeny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biologickými činiteli způsobujícími onemocnění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ionizujícím zářením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neionizujícím zářením a elektromagnetickým polem včetně laserů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Celková fyzická zátěž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trupu a páteře s převahou statické práce (manipulace s břemeny)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- zátěž malých svalových skupin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Lokální zátěž jemné motoriky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omezeném nebo uzavřeném prostoru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prací v nevhodných pracovních polohách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Práce ve výškách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Zvýšené riziko úrazu pracovníka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teplem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  <w:tr>
        <w:trPr/>
        <w:tc>
          <w:tcPr>
            <w:tcW w:w="5000" w:type="dxa"/>
          </w:tcPr>
          <w:p>
            <w:pPr/>
            <w:r>
              <w:rPr/>
              <w:t xml:space="preserve">Zátěž chladem</w:t>
            </w:r>
          </w:p>
        </w:tc>
        <w:tc>
          <w:tcPr>
            <w:tcW w:w="1000" w:type="dxa"/>
          </w:tcPr>
          <w:p>
            <w:pPr>
              <w:jc w:val="center"/>
            </w:pPr>
            <w:r>
              <w:rPr/>
              <w:t xml:space="preserve">x</w:t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  <w:tc>
          <w:tcPr>
            <w:tcW w:w="1000" w:type="dxa"/>
          </w:tcPr>
          <w:p>
            <w:pPr/>
            <w:r>
              <w:rPr/>
              <w:t xml:space="preserve"/>
            </w:r>
          </w:p>
        </w:tc>
      </w:tr>
    </w:tbl>
    <w:p/>
    <w:p>
      <w:pPr/>
      <w:r>
        <w:rPr>
          <w:sz w:val="16"/>
          <w:szCs w:val="16"/>
          <w:i w:val="1"/>
          <w:iCs w:val="1"/>
        </w:rPr>
        <w:t xml:space="preserve">Legenda: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1. Stupeň zátěže (minimální zdravotní riziko) - Faktor se při výkonu práce nevyskytuje nebo je zátěž faktorem minimální, vliv faktoru je ze zdravotního hlediska nevýznamný.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2. Stupeň zátěže (únosná míra zdravotního rizika) - Ze zdravotního hlediska je míra zátěže faktorem únosná, nepřekračuje limity stanovené předpisy, vliv faktoru je akceptovatelný pro zdravého člověka.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3. Stupeň zátěže (významná míra zdravotního rizika) - Úroveň zátěže překračuje stanovené limitní hodnoty expozice (zátěže), na pracovištích je nutná realizace náhradních technických a organizačních opatření, nelze vyloučit negativní vliv na zdraví pracovníků.</w:t>
      </w:r>
    </w:p>
    <w:p>
      <w:pPr>
        <w:numPr>
          <w:ilvl w:val="0"/>
          <w:numId w:val="5"/>
        </w:numPr>
      </w:pPr>
      <w:r>
        <w:rPr>
          <w:sz w:val="16"/>
          <w:szCs w:val="16"/>
          <w:i w:val="1"/>
          <w:iCs w:val="1"/>
        </w:rPr>
        <w:t xml:space="preserve">4. Stupeň zátěže (vysoká míra zdravotního rizika) - Úroveň zátěže vysoce překračuje stanovené limitní hodnoty expozice, na pracovištích musí být dodržován soubor preventivních opatření, častěji dochází k poškození zdraví.</w:t>
      </w:r>
    </w:p>
    <w:p/>
    <w:p/>
    <w:p>
      <w:pPr>
        <w:pStyle w:val="Heading2"/>
      </w:pPr>
      <w:bookmarkStart w:id="9" w:name="_Toc9"/>
      <w:r>
        <w:t>Kvalifikace k výkonu povolání</w:t>
      </w:r>
      <w:bookmarkEnd w:id="9"/>
    </w:p>
    <w:p>
      <w:pPr>
        <w:pStyle w:val="Heading3"/>
      </w:pPr>
      <w:bookmarkStart w:id="10" w:name="_Toc10"/>
      <w:r>
        <w:t>Školní vzdělání</w:t>
      </w:r>
      <w:bookmarkEnd w:id="10"/>
    </w:p>
    <w:p/>
    <w:p>
      <w:pPr>
        <w:pStyle w:val="Heading4"/>
      </w:pPr>
      <w:bookmarkStart w:id="11" w:name="_Toc11"/>
      <w:r>
        <w:t>Nejvhodnější školní přípravu poskytují obory:</w:t>
      </w:r>
      <w:bookmarkEnd w:id="11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Magisterský studijní program v oboru bezpečnostně právní studia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6806T</w:t>
            </w:r>
          </w:p>
        </w:tc>
      </w:tr>
    </w:tbl>
    <w:p/>
    <w:p>
      <w:pPr>
        <w:pStyle w:val="Heading4"/>
      </w:pPr>
      <w:bookmarkStart w:id="12" w:name="_Toc12"/>
      <w:r>
        <w:t>Vhodnou školní přípravu poskytují také obory:</w:t>
      </w:r>
      <w:bookmarkEnd w:id="12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Typ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Doktorský studijní program v oboru bezpečnostně právní studia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6806V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Magisterský studijní program v oboru požární ochrana a průmyslová bezpečnost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3908T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Bakalářský studijní program v oboru požární ochrana a průmyslová bezpečnost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3908R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Doktorský studijní program v oboru požární ochrana a průmyslová bezpečnost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3908V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Bakalářský studijní program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xxxxR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Magisterský studijní program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xxxxT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Vyšší odborné vzdělání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xxxxN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KKOV</w:t>
            </w:r>
          </w:p>
        </w:tc>
        <w:tc>
          <w:tcPr>
            <w:tcW w:w="5000" w:type="dxa"/>
          </w:tcPr>
          <w:p>
            <w:pPr/>
            <w:r>
              <w:rPr/>
              <w:t xml:space="preserve">Bakalářský studijní program v oboru bezpečnostně právní studia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6806R</w:t>
            </w:r>
          </w:p>
        </w:tc>
      </w:tr>
    </w:tbl>
    <w:p/>
    <w:p>
      <w:pPr>
        <w:pStyle w:val="Heading3"/>
      </w:pPr>
      <w:bookmarkStart w:id="13" w:name="_Toc13"/>
      <w:r>
        <w:t>Další vzdělání</w:t>
      </w:r>
      <w:bookmarkEnd w:id="13"/>
    </w:p>
    <w:p>
      <w:pPr>
        <w:pStyle w:val="Heading4"/>
      </w:pPr>
      <w:bookmarkStart w:id="14" w:name="_Toc14"/>
      <w:r>
        <w:t>Profesní kvalifikace</w:t>
      </w:r>
      <w:bookmarkEnd w:id="14"/>
    </w:p>
    <w:p>
      <w:pPr>
        <w:numPr>
          <w:ilvl w:val="0"/>
          <w:numId w:val="5"/>
        </w:numPr>
      </w:pPr>
      <w:r>
        <w:rPr/>
        <w:t xml:space="preserve">Bezpečnostní manažer/manažerka v obchodě a službách (68-005-T)</w:t>
      </w:r>
    </w:p>
    <w:p/>
    <w:p/>
    <w:p>
      <w:pPr>
        <w:pStyle w:val="Heading2"/>
      </w:pPr>
      <w:bookmarkStart w:id="15" w:name="_Toc15"/>
      <w:r>
        <w:t>Kompetenční požadavky</w:t>
      </w:r>
      <w:bookmarkEnd w:id="15"/>
    </w:p>
    <w:p>
      <w:pPr>
        <w:pStyle w:val="Heading3"/>
      </w:pPr>
      <w:bookmarkStart w:id="16" w:name="_Toc16"/>
      <w:r>
        <w:t>Odborné dovednosti</w:t>
      </w:r>
      <w:bookmarkEnd w:id="16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l21.D.2548</w:t>
            </w:r>
          </w:p>
        </w:tc>
        <w:tc>
          <w:tcPr>
            <w:tcW w:w="3000" w:type="dxa"/>
          </w:tcPr>
          <w:p>
            <w:pPr/>
            <w:r>
              <w:rPr/>
              <w:t xml:space="preserve">Navrhování koncepcí a vypracovávání systémových projektů komplexní bezpečnosti organizací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l21.D.6541</w:t>
            </w:r>
          </w:p>
        </w:tc>
        <w:tc>
          <w:tcPr>
            <w:tcW w:w="3000" w:type="dxa"/>
          </w:tcPr>
          <w:p>
            <w:pPr/>
            <w:r>
              <w:rPr/>
              <w:t xml:space="preserve">Posuzování bezpečnostních projektů soukromých bezpečnostních služeb a jejich dodavatelů, vlastní ochrany organizací apod.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l21.C.1541</w:t>
            </w:r>
          </w:p>
        </w:tc>
        <w:tc>
          <w:tcPr>
            <w:tcW w:w="3000" w:type="dxa"/>
          </w:tcPr>
          <w:p>
            <w:pPr/>
            <w:r>
              <w:rPr/>
              <w:t xml:space="preserve">Poskytování rad a odborných konzultací, poradenské a lektorské činnosti a organizační podpora pro organizace a členy bezpečnostní komunity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l21.D.3541</w:t>
            </w:r>
          </w:p>
        </w:tc>
        <w:tc>
          <w:tcPr>
            <w:tcW w:w="3000" w:type="dxa"/>
          </w:tcPr>
          <w:p>
            <w:pPr/>
            <w:r>
              <w:rPr/>
              <w:t xml:space="preserve">Vyhotovování expertních posudků pro orgány veřejné správy a státního dozoru, policii, soudy, pojišťovny apod.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l21.D.2542</w:t>
            </w:r>
          </w:p>
        </w:tc>
        <w:tc>
          <w:tcPr>
            <w:tcW w:w="3000" w:type="dxa"/>
          </w:tcPr>
          <w:p>
            <w:pPr/>
            <w:r>
              <w:rPr/>
              <w:t xml:space="preserve">Příprava a implementace dílčích bezpečnostních projektů organizací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7" w:name="_Toc17"/>
      <w:r>
        <w:t>Odborné znalosti</w:t>
      </w:r>
      <w:bookmarkEnd w:id="17"/>
    </w:p>
    <w:tbl>
      <w:tblGrid>
        <w:gridCol w:w="2000" w:type="dxa"/>
        <w:gridCol w:w="3000" w:type="dxa"/>
        <w:gridCol w:w="2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3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1-8</w:t>
            </w:r>
          </w:p>
        </w:tc>
        <w:tc>
          <w:tcPr>
            <w:tcW w:w="2000" w:type="dxa"/>
          </w:tcPr>
          <w:p>
            <w:pPr/>
            <w:r>
              <w:rPr>
                <w:b w:val="1"/>
                <w:bCs w:val="1"/>
              </w:rPr>
              <w:t xml:space="preserve">Vhodnost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l21._.0054</w:t>
            </w:r>
          </w:p>
        </w:tc>
        <w:tc>
          <w:tcPr>
            <w:tcW w:w="3000" w:type="dxa"/>
          </w:tcPr>
          <w:p>
            <w:pPr/>
            <w:r>
              <w:rPr/>
              <w:t xml:space="preserve">projektování bezpečnostních systémů organizací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l21._.0042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technická, administrativní a informační bezpečnost orgánů a úřadů státní správy a samosprávy a jejich činnosti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l21._.0051</w:t>
            </w:r>
          </w:p>
        </w:tc>
        <w:tc>
          <w:tcPr>
            <w:tcW w:w="3000" w:type="dxa"/>
          </w:tcPr>
          <w:p>
            <w:pPr/>
            <w:r>
              <w:rPr/>
              <w:t xml:space="preserve">ochrana a ostraha objektů, osob a majetku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l21._.0052</w:t>
            </w:r>
          </w:p>
        </w:tc>
        <w:tc>
          <w:tcPr>
            <w:tcW w:w="3000" w:type="dxa"/>
          </w:tcPr>
          <w:p>
            <w:pPr/>
            <w:r>
              <w:rPr/>
              <w:t xml:space="preserve">osobní ochrana, ozbrojený doprovod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l21._.0053</w:t>
            </w:r>
          </w:p>
        </w:tc>
        <w:tc>
          <w:tcPr>
            <w:tcW w:w="3000" w:type="dxa"/>
          </w:tcPr>
          <w:p>
            <w:pPr/>
            <w:r>
              <w:rPr/>
              <w:t xml:space="preserve">ochrana a ostraha bankovních objektů a transportů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Výhodné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l21._.0055</w:t>
            </w:r>
          </w:p>
        </w:tc>
        <w:tc>
          <w:tcPr>
            <w:tcW w:w="3000" w:type="dxa"/>
          </w:tcPr>
          <w:p>
            <w:pPr/>
            <w:r>
              <w:rPr/>
              <w:t xml:space="preserve">technické bezpečnostní systémy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7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Nutné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https://nsp.cz/downloads/Priloha_c2_manualu.pdf</w:t>
      </w:r>
    </w:p>
    <w:p/>
    <w:p>
      <w:pPr>
        <w:pStyle w:val="Heading3"/>
      </w:pPr>
      <w:bookmarkStart w:id="18" w:name="_Toc18"/>
      <w:r>
        <w:t>Obecné dovednosti</w:t>
      </w:r>
      <w:bookmarkEnd w:id="18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b01</w:t>
            </w:r>
          </w:p>
        </w:tc>
        <w:tc>
          <w:tcPr>
            <w:tcW w:w="5000" w:type="dxa"/>
          </w:tcPr>
          <w:p>
            <w:pPr/>
            <w:r>
              <w:rPr/>
              <w:t xml:space="preserve">Počítačová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b02</w:t>
            </w:r>
          </w:p>
        </w:tc>
        <w:tc>
          <w:tcPr>
            <w:tcW w:w="5000" w:type="dxa"/>
          </w:tcPr>
          <w:p>
            <w:pPr/>
            <w:r>
              <w:rPr/>
              <w:t xml:space="preserve">Způsobilost k řízení osobního automobilu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1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b03</w:t>
            </w:r>
          </w:p>
        </w:tc>
        <w:tc>
          <w:tcPr>
            <w:tcW w:w="5000" w:type="dxa"/>
          </w:tcPr>
          <w:p>
            <w:pPr/>
            <w:r>
              <w:rPr/>
              <w:t xml:space="preserve">Numerická způsobilost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b04</w:t>
            </w:r>
          </w:p>
        </w:tc>
        <w:tc>
          <w:tcPr>
            <w:tcW w:w="5000" w:type="dxa"/>
          </w:tcPr>
          <w:p>
            <w:pPr/>
            <w:r>
              <w:rPr/>
              <w:t xml:space="preserve">Ekonomické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b05</w:t>
            </w:r>
          </w:p>
        </w:tc>
        <w:tc>
          <w:tcPr>
            <w:tcW w:w="5000" w:type="dxa"/>
          </w:tcPr>
          <w:p>
            <w:pPr/>
            <w:r>
              <w:rPr/>
              <w:t xml:space="preserve">Právní povědomí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b06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češtině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3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b07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angličtině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2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b08</w:t>
            </w:r>
          </w:p>
        </w:tc>
        <w:tc>
          <w:tcPr>
            <w:tcW w:w="5000" w:type="dxa"/>
          </w:tcPr>
          <w:p>
            <w:pPr/>
            <w:r>
              <w:rPr/>
              <w:t xml:space="preserve">Jazyková způsobilost v dalším cizím jazyce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0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https://nsp.cz/downloads/Priloha_c10_manualu.pdf</w:t>
      </w:r>
    </w:p>
    <w:p/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https://nsp.cz/downloads/Priloha_c15_manualu.pdf</w:t>
      </w:r>
    </w:p>
    <w:p/>
    <w:p>
      <w:pPr>
        <w:pStyle w:val="Heading3"/>
      </w:pPr>
      <w:bookmarkStart w:id="19" w:name="_Toc19"/>
      <w:r>
        <w:t>Měkké kompetence</w:t>
      </w:r>
      <w:bookmarkEnd w:id="19"/>
    </w:p>
    <w:tbl>
      <w:tblGrid>
        <w:gridCol w:w="2000" w:type="dxa"/>
        <w:gridCol w:w="5000" w:type="dxa"/>
        <w:gridCol w:w="2000" w:type="dxa"/>
      </w:tblGrid>
      <w:tblPr>
        <w:jc w:val="start"/>
        <w:tblW w:w="0" w:type="auto"/>
        <w:tblCellSpacing w:w="50" w:type="dxa"/>
        <w:tblLayout w:type="autofit"/>
        <w:bidiVisual w:val="0"/>
        <w:tblCellMar>
          <w:top w:w="80" w:type="dxa"/>
          <w:left w:w="80" w:type="dxa"/>
          <w:right w:w="80" w:type="dxa"/>
          <w:bottom w:w="80" w:type="dxa"/>
        </w:tblCellMar>
      </w:tblPr>
      <w:tr>
        <w:trPr/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Kód</w:t>
            </w:r>
          </w:p>
        </w:tc>
        <w:tc>
          <w:tcPr>
            <w:tcW w:w="5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Název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>
                <w:b w:val="1"/>
                <w:bCs w:val="1"/>
              </w:rPr>
              <w:t xml:space="preserve">Úroveň 0-5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efektivní komunikaci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vedení lidí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3.3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objevování a orientaci v informacích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zvládání stresu a zátěže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aktivnímu přístupu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1.1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celoživotnímu vzdělávání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plánování a organizování práce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řešení problémů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4.5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samostatnosti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4.6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výkonnosti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orientaci na zákazníka a uspokojování zákaznických potřeb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flexibilitě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5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1.3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kreativitě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2.2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ke kooperaci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  <w:tr>
        <w:trPr/>
        <w:tc>
          <w:tcPr>
            <w:tcW w:w="2000" w:type="dxa"/>
          </w:tcPr>
          <w:p>
            <w:pPr>
              <w:jc w:val="center"/>
            </w:pPr>
            <w:r>
              <w:rPr/>
              <w:t xml:space="preserve">2.4</w:t>
            </w:r>
          </w:p>
        </w:tc>
        <w:tc>
          <w:tcPr>
            <w:tcW w:w="5000" w:type="dxa"/>
          </w:tcPr>
          <w:p>
            <w:pPr/>
            <w:r>
              <w:rPr/>
              <w:t xml:space="preserve">Kompetence k ovlivňování a rozvíjení ostatních</w:t>
            </w:r>
          </w:p>
        </w:tc>
        <w:tc>
          <w:tcPr>
            <w:tcW w:w="2000" w:type="dxa"/>
          </w:tcPr>
          <w:p>
            <w:pPr>
              <w:jc w:val="center"/>
            </w:pPr>
            <w:r>
              <w:rPr/>
              <w:t xml:space="preserve">4</w:t>
            </w:r>
          </w:p>
        </w:tc>
      </w:tr>
    </w:tbl>
    <w:p>
      <w:pPr/>
      <w:r>
        <w:rPr>
          <w:sz w:val="16"/>
          <w:szCs w:val="16"/>
          <w:i w:val="1"/>
          <w:iCs w:val="1"/>
        </w:rPr>
        <w:t xml:space="preserve">Popisy úrovní naleznete zde: https://nsp.cz/downloads/Priloha_c9_manualu.pdf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4F9C810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spacing w:after="120"/>
    </w:pPr>
    <w:rPr>
      <w:sz w:val="40"/>
      <w:szCs w:val="40"/>
      <w:b w:val="1"/>
      <w:bCs w:val="1"/>
    </w:rPr>
  </w:style>
  <w:style w:type="paragraph" w:styleId="Heading2">
    <w:link w:val="Heading2Char"/>
    <w:name w:val="heading 2"/>
    <w:basedOn w:val="Normal"/>
    <w:pPr>
      <w:spacing w:after="80"/>
    </w:pPr>
    <w:rPr>
      <w:sz w:val="28"/>
      <w:szCs w:val="28"/>
      <w:b w:val="1"/>
      <w:bCs w:val="1"/>
    </w:rPr>
  </w:style>
  <w:style w:type="paragraph" w:styleId="Heading3">
    <w:link w:val="Heading3Char"/>
    <w:name w:val="heading 3"/>
    <w:basedOn w:val="Normal"/>
    <w:pPr>
      <w:spacing w:after="60"/>
    </w:pPr>
    <w:rPr>
      <w:sz w:val="24"/>
      <w:szCs w:val="24"/>
      <w:b w:val="1"/>
      <w:bCs w:val="1"/>
    </w:rPr>
  </w:style>
  <w:style w:type="paragraph" w:styleId="Heading4">
    <w:link w:val="Heading4Char"/>
    <w:name w:val="heading 4"/>
    <w:basedOn w:val="Normal"/>
    <w:pPr>
      <w:spacing w:after="6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FDV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NSP.CZ</dc:creator>
  <dc:title>Bezpečnostní manažer v obchodě a službách</dc:title>
  <dc:description>Bezpečnostní manažer v obchodě a službách předvídá, analyzuje a odvrací stávající i budoucí rizika ohrožující obchodní společnost a vytváří postupy a procesy k prevenci, resp. minimalizaci rizik ztrát na majetku či zdraví zaměstnanců nebo zákazníků.</dc:description>
  <dc:subject/>
  <cp:keywords/>
  <cp:category>Specializace</cp:category>
  <cp:lastModifiedBy/>
  <dcterms:created xsi:type="dcterms:W3CDTF">2017-11-22T09:20:22+01:00</dcterms:created>
  <dcterms:modified xsi:type="dcterms:W3CDTF">2024-03-26T10:03:33+01:00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