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specialista</w:t>
      </w:r>
      <w:bookmarkEnd w:id="1"/>
    </w:p>
    <w:p>
      <w:pPr/>
      <w:r>
        <w:rPr/>
        <w:t xml:space="preserve"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detektiv s možností speciálního odborného zaměření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Pátrání po osobách a věcech s využitím speciálních metod soukromé detektivní činnosti a kriminalistických metod a techniky.</w:t>
      </w:r>
    </w:p>
    <w:p>
      <w:pPr>
        <w:numPr>
          <w:ilvl w:val="0"/>
          <w:numId w:val="5"/>
        </w:numPr>
      </w:pPr>
      <w:r>
        <w:rPr/>
        <w:t xml:space="preserve">Prošetřování souvislostí a událostí spojených se vznikem škod a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Monitorování relevantních jednání, činností, pohybu, režimu dne a styků zájmových osob a činností a vozidel, které jsou podstatné pro prokázání právního zájmu klienta.</w:t>
      </w:r>
    </w:p>
    <w:p>
      <w:pPr>
        <w:numPr>
          <w:ilvl w:val="0"/>
          <w:numId w:val="5"/>
        </w:numPr>
      </w:pPr>
      <w:r>
        <w:rPr/>
        <w:t xml:space="preserve">Zajišťování informací o důkazech, svědectví, stop aj. indicií pro potřeby soudních a správních kauz.</w:t>
      </w:r>
    </w:p>
    <w:p>
      <w:pPr>
        <w:numPr>
          <w:ilvl w:val="0"/>
          <w:numId w:val="5"/>
        </w:numPr>
      </w:pPr>
      <w:r>
        <w:rPr/>
        <w:t xml:space="preserve">Zajišťování režimové ochrany, detektivní ochrany a dohledu k ochraně majetku a osob v živnostenských provozovnách.</w:t>
      </w:r>
    </w:p>
    <w:p>
      <w:pPr>
        <w:numPr>
          <w:ilvl w:val="0"/>
          <w:numId w:val="5"/>
        </w:numPr>
      </w:pPr>
      <w:r>
        <w:rPr/>
        <w:t xml:space="preserve">Prověřování osobních, rodinných a majetkových poměrů osob pro potřeby právního zájmu klienta.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Provádění operativně-pátrací činnosti a organizování kolektivu podřízených detektivů.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soudních sporů, trestní řízení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pohybu, činnosti, styků osob a vozidel pro potřeby ostatních soukromě detektivních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073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specialista</dc:title>
  <dc:description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