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draků a mechanických systémů</w:t>
      </w:r>
      <w:bookmarkEnd w:id="1"/>
    </w:p>
    <w:p>
      <w:pPr/>
      <w:r>
        <w:rPr/>
        <w:t xml:space="preserve">Inspektor draků a mechanických systémů vykonává na Úřadu pro civilní letectví státní správu a státní dozor nad způsobilostí draků a mechanických systémů letadel všech kategorií včetně dovážených.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letedel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Technická šetření a předkládání návrhů technical visa pro udělení oprávnění ETSO.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AA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draků a mechanických systémů</dc:title>
  <dc:description>Inspektor draků a mechanických systémů vykonává na Úřadu pro civilní letectví státní správu a státní dozor nad způsobilostí draků a mechanických systémů letadel všech kategorií včetně dovážených.</dc:description>
  <dc:subject/>
  <cp:keywords/>
  <cp:category>Specializace</cp:category>
  <cp:lastModifiedBy/>
  <dcterms:created xsi:type="dcterms:W3CDTF">2017-11-22T09:19:26+01:00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