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parních kotlů</w:t>
      </w:r>
      <w:bookmarkEnd w:id="1"/>
    </w:p>
    <w:p>
      <w:pPr/>
      <w:r>
        <w:rPr/>
        <w:t xml:space="preserve">Topič parních kotlů provádí obsluhu parních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Odstavení kotel z provozu.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A1E8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parních kotlů</dc:title>
  <dc:description>Topič parních kotlů provádí obsluhu parních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2017-11-22T09:18:57+01:00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