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parních kotlů</w:t>
      </w:r>
      <w:bookmarkEnd w:id="1"/>
    </w:p>
    <w:p>
      <w:pPr/>
      <w:r>
        <w:rPr/>
        <w:t xml:space="preserve">Topič parních kotlů provádí obsluhu parních kotlů na tuhá, kapalná a plynná paliva provozovaných v průmyslu, menších teplárnách popřípadě ve službách.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Obsluha topeniště kotle a kontroluje řádný odvod spalin.</w:t>
      </w:r>
    </w:p>
    <w:p>
      <w:pPr>
        <w:numPr>
          <w:ilvl w:val="0"/>
          <w:numId w:val="5"/>
        </w:numPr>
      </w:pPr>
      <w:r>
        <w:rPr/>
        <w:t xml:space="preserve">Odstavení kotel z provozu.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Kontrola vodoznaků,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1A0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parních kotlů</dc:title>
  <dc:description>Topič parních kotlů provádí obsluhu parních kotlů na tuhá, kapalná a plynná paliva provozovaných v průmyslu, menších teplárnách popřípadě ve službách.</dc:description>
  <dc:subject/>
  <cp:keywords/>
  <cp:category>Specializace</cp:category>
  <cp:lastModifiedBy/>
  <dcterms:created xsi:type="dcterms:W3CDTF">2017-11-22T09:18:57+01:00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