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</w:t>
      </w:r>
      <w:bookmarkEnd w:id="1"/>
    </w:p>
    <w:p>
      <w:pPr/>
      <w:r>
        <w:rPr/>
        <w:t xml:space="preserve">Rostlinolékařský inspektor provádí inspekční a dozorovou činnost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inspektor, Inspektor mechanizačních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správních rostlinolékařských procesů při porušení povinností fyzických a právnických osob stanovených ze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i21.D.6391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původců chorob a škůdců rostlin a plevelů,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ochrany rostlin, v rámci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ošetřování rostlin a rostlinných produktů proti škodlivým organismům,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18E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</dc:title>
  <dc:description>Rostlinolékařský inspektor provádí inspekční a dozorovou činnost v oboru rostlinolékařské péče.</dc:description>
  <dc:subject/>
  <cp:keywords/>
  <cp:category>Specializace</cp:category>
  <cp:lastModifiedBy/>
  <dcterms:created xsi:type="dcterms:W3CDTF">2017-11-22T09:18:42+01:00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