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</w:t>
      </w:r>
      <w:bookmarkEnd w:id="1"/>
    </w:p>
    <w:p>
      <w:pPr/>
      <w:r>
        <w:rPr/>
        <w:t xml:space="preserve">Knihovník provádí základní knihovnické práce, zajišťuje chod knihovny s univerzálním fondem s lokální a regionální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knihovny.</w:t>
      </w:r>
    </w:p>
    <w:p>
      <w:pPr>
        <w:numPr>
          <w:ilvl w:val="0"/>
          <w:numId w:val="5"/>
        </w:numPr>
      </w:pPr>
      <w:r>
        <w:rPr/>
        <w:t xml:space="preserve">Organizování knihovního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Revize knihovních sbírek.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lokální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lokální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standardů a stanovených metodik v knihovnách s lokální působností.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5CD6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</dc:title>
  <dc:description>Knihovník provádí základní knihovnické práce, zajišťuje chod knihovny s univerzálním fondem s lokální a regionální působností.</dc:description>
  <dc:subject/>
  <cp:keywords/>
  <cp:category>Povolání</cp:category>
  <cp:lastModifiedBy/>
  <dcterms:created xsi:type="dcterms:W3CDTF">2017-11-22T09:18:24+01:00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