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Specialista marketingu</w:t>
      </w:r>
      <w:bookmarkEnd w:id="1"/>
    </w:p>
    <w:p>
      <w:pPr/>
      <w:r>
        <w:rPr/>
        <w:t xml:space="preserve">Specialista marketingu zajišťuje marketingové aktivity vycházející ze strategického plánu organizace, jejichž cílem je zviditelnění a propagace společnosti, produktů nebo konkrétní značky. Komplexně zajišťuje aktivity spojené s průzkumem trhu, spolupracuje s reklamními, marketingovými a PR agenturami a obchodním oddělením společnosti.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Obchod a marketing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marketing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Pomaturitní krátkodobé vzdělání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Alternativní názvy:</w:t>
            </w:r>
          </w:p>
        </w:tc>
        <w:tc>
          <w:tcPr/>
          <w:p>
            <w:pPr/>
            <w:r>
              <w:rPr/>
              <w:t xml:space="preserve">Marketingový specialista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Podřízené specializace:</w:t>
            </w:r>
          </w:p>
        </w:tc>
        <w:tc>
          <w:tcPr/>
          <w:p>
            <w:pPr/>
            <w:r>
              <w:rPr/>
              <w:t xml:space="preserve">Specialista pro podporu prodeje a tvorbu letákových akcí, Produktový specialista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ne</w:t>
            </w:r>
          </w:p>
        </w:tc>
      </w:tr>
    </w:tbl>
    <w:p/>
    <w:p>
      <w:pPr>
        <w:pStyle w:val="Heading2"/>
      </w:pPr>
      <w:bookmarkStart w:id="2" w:name="_Toc2"/>
      <w:r>
        <w:t>Pracovní činnosti</w:t>
      </w:r>
      <w:bookmarkEnd w:id="2"/>
    </w:p>
    <w:p>
      <w:pPr>
        <w:numPr>
          <w:ilvl w:val="0"/>
          <w:numId w:val="5"/>
        </w:numPr>
      </w:pPr>
      <w:r>
        <w:rPr/>
        <w:t xml:space="preserve">Realizace marketingových aktivit.</w:t>
      </w:r>
    </w:p>
    <w:p>
      <w:pPr>
        <w:numPr>
          <w:ilvl w:val="0"/>
          <w:numId w:val="5"/>
        </w:numPr>
      </w:pPr>
      <w:r>
        <w:rPr/>
        <w:t xml:space="preserve">Spolupráce na tvorbě marketingového a obchodního plánu.</w:t>
      </w:r>
    </w:p>
    <w:p>
      <w:pPr>
        <w:numPr>
          <w:ilvl w:val="0"/>
          <w:numId w:val="5"/>
        </w:numPr>
      </w:pPr>
      <w:r>
        <w:rPr/>
        <w:t xml:space="preserve">Analýza prodeje a trhů a monitoring trhu.</w:t>
      </w:r>
    </w:p>
    <w:p>
      <w:pPr>
        <w:numPr>
          <w:ilvl w:val="0"/>
          <w:numId w:val="5"/>
        </w:numPr>
      </w:pPr>
      <w:r>
        <w:rPr/>
        <w:t xml:space="preserve">Vyhodnocování efektivity marketingových činností.</w:t>
      </w:r>
    </w:p>
    <w:p>
      <w:pPr>
        <w:numPr>
          <w:ilvl w:val="0"/>
          <w:numId w:val="5"/>
        </w:numPr>
      </w:pPr>
      <w:r>
        <w:rPr/>
        <w:t xml:space="preserve">Komunikace s médii, distribuce tiskových zpráv, realizace Public Relations.</w:t>
      </w:r>
    </w:p>
    <w:p>
      <w:pPr>
        <w:numPr>
          <w:ilvl w:val="0"/>
          <w:numId w:val="5"/>
        </w:numPr>
      </w:pPr>
      <w:r>
        <w:rPr/>
        <w:t xml:space="preserve">Komunikace s marketingovými odděleními obchodních partnerů.</w:t>
      </w:r>
    </w:p>
    <w:p>
      <w:pPr>
        <w:numPr>
          <w:ilvl w:val="0"/>
          <w:numId w:val="5"/>
        </w:numPr>
      </w:pPr>
      <w:r>
        <w:rPr/>
        <w:t xml:space="preserve">Podpora prodejců - obchodních zástupců.</w:t>
      </w:r>
    </w:p>
    <w:p>
      <w:pPr>
        <w:numPr>
          <w:ilvl w:val="0"/>
          <w:numId w:val="5"/>
        </w:numPr>
      </w:pPr>
      <w:r>
        <w:rPr/>
        <w:t xml:space="preserve">Analýza vnějších a vnitřních činitelů (SWOT analýza).</w:t>
      </w:r>
    </w:p>
    <w:p>
      <w:pPr>
        <w:numPr>
          <w:ilvl w:val="0"/>
          <w:numId w:val="5"/>
        </w:numPr>
      </w:pPr>
      <w:r>
        <w:rPr/>
        <w:t xml:space="preserve">Vyhledávání příležitostí na trhu.</w:t>
      </w:r>
    </w:p>
    <w:p>
      <w:pPr>
        <w:numPr>
          <w:ilvl w:val="0"/>
          <w:numId w:val="5"/>
        </w:numPr>
      </w:pPr>
      <w:r>
        <w:rPr/>
        <w:t xml:space="preserve">Vytváření optimální marketingové strategie.</w:t>
      </w:r>
    </w:p>
    <w:p>
      <w:pPr>
        <w:numPr>
          <w:ilvl w:val="0"/>
          <w:numId w:val="5"/>
        </w:numPr>
      </w:pPr>
      <w:r>
        <w:rPr/>
        <w:t xml:space="preserve">Získávání informací o potenciálu trhu, konkurenci, požadavcích zákazníků a produktech.</w:t>
      </w:r>
    </w:p>
    <w:p>
      <w:pPr>
        <w:numPr>
          <w:ilvl w:val="0"/>
          <w:numId w:val="5"/>
        </w:numPr>
      </w:pPr>
      <w:r>
        <w:rPr/>
        <w:t xml:space="preserve">Příprava a realizace aktivit pro zvýšení prodeje.</w:t>
      </w:r>
    </w:p>
    <w:p>
      <w:pPr>
        <w:numPr>
          <w:ilvl w:val="0"/>
          <w:numId w:val="5"/>
        </w:numPr>
      </w:pPr>
      <w:r>
        <w:rPr/>
        <w:t xml:space="preserve">Spolupráce při tvorbě, zajišťování a aktualizaci webových stránek a informačních a propagačních materiálů.</w:t>
      </w:r>
    </w:p>
    <w:p>
      <w:pPr>
        <w:numPr>
          <w:ilvl w:val="0"/>
          <w:numId w:val="5"/>
        </w:numPr>
      </w:pPr>
      <w:r>
        <w:rPr/>
        <w:t xml:space="preserve">Prezentace firmy nebo organizace na internetu a aktualizace uveřejňovaných informací.</w:t>
      </w:r>
    </w:p>
    <w:p/>
    <w:p>
      <w:pPr>
        <w:pStyle w:val="Heading2"/>
      </w:pPr>
      <w:bookmarkStart w:id="3" w:name="_Toc3"/>
      <w:r>
        <w:t>CZ-ISCO</w:t>
      </w:r>
      <w:bookmarkEnd w:id="3"/>
    </w:p>
    <w:p>
      <w:pPr>
        <w:numPr>
          <w:ilvl w:val="0"/>
          <w:numId w:val="5"/>
        </w:numPr>
      </w:pPr>
      <w:r>
        <w:rPr/>
        <w:t xml:space="preserve">Specialisté v oblasti marketingu</w:t>
      </w:r>
    </w:p>
    <w:p>
      <w:pPr>
        <w:numPr>
          <w:ilvl w:val="0"/>
          <w:numId w:val="5"/>
        </w:numPr>
      </w:pPr>
      <w:r>
        <w:rPr/>
        <w:t xml:space="preserve">Specialisté v oblasti reklamy a marketingu, průzkumu trhu</w:t>
      </w:r>
    </w:p>
    <w:p/>
    <w:p>
      <w:pPr>
        <w:pStyle w:val="Heading3"/>
      </w:pPr>
      <w:bookmarkStart w:id="4" w:name="_Toc4"/>
      <w:r>
        <w:t>Hrubé měsíční mzdy podle krajů v roce 2025</w:t>
      </w:r>
      <w:bookmarkEnd w:id="4"/>
    </w:p>
    <w:p>
      <w:pPr>
        <w:pStyle w:val="Heading4"/>
      </w:pPr>
      <w:bookmarkStart w:id="5" w:name="_Toc5"/>
      <w:r>
        <w:t>Specialisté v oblasti reklamy a marketingu, průzkumu trhu (CZ-ISCO 2431)</w:t>
      </w:r>
      <w:bookmarkEnd w:id="5"/>
    </w:p>
    <w:tbl>
      <w:tblGrid>
        <w:gridCol w:w="2400" w:type="dxa"/>
        <w:gridCol w:w="1100" w:type="dxa"/>
        <w:gridCol w:w="1100" w:type="dxa"/>
        <w:gridCol w:w="1100" w:type="dxa"/>
        <w:gridCol w:w="1100" w:type="dxa"/>
        <w:gridCol w:w="1100" w:type="dxa"/>
        <w:gridCol w:w="11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400" w:type="dxa"/>
          </w:tcPr>
          <w:p/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2400" w:type="dxa"/>
          </w:tcPr>
          <w:p>
            <w:pPr/>
            <w:r>
              <w:rPr>
                <w:b w:val="1"/>
                <w:bCs w:val="1"/>
              </w:rPr>
              <w:t xml:space="preserve">Kraj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Hlavní město Praha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49 113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76 461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142 907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Středočeský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41 540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66 580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121 925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Plzeňský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38 027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68 191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114 307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Ústecký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42 252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70 048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102 921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Královéhradecký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22 591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54 502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115 363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Pardubický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34 948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59 963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89 742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Jihomoravský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36 386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48 535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90 101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Zlínský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33 051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57 560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96 911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</w:tbl>
    <w:p/>
    <w:p>
      <w:pPr>
        <w:pStyle w:val="Heading3"/>
      </w:pPr>
      <w:bookmarkStart w:id="6" w:name="_Toc6"/>
      <w:r>
        <w:t>Hrubé měsíční mzdy v roce 2025 celkem</w:t>
      </w:r>
      <w:bookmarkEnd w:id="6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2431</w:t>
            </w:r>
          </w:p>
        </w:tc>
        <w:tc>
          <w:tcPr>
            <w:tcW w:w="2000" w:type="dxa"/>
          </w:tcPr>
          <w:p>
            <w:pPr/>
            <w:r>
              <w:rPr/>
              <w:t xml:space="preserve">Specialisté v oblasti reklamy a marketingu, průzkumu trhu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48 840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69 982 Kč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24311</w:t>
            </w:r>
          </w:p>
        </w:tc>
        <w:tc>
          <w:tcPr>
            <w:tcW w:w="2000" w:type="dxa"/>
          </w:tcPr>
          <w:p>
            <w:pPr/>
            <w:r>
              <w:rPr/>
              <w:t xml:space="preserve">Specialisté v oblasti marketingu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49 347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70 081 Kč</w:t>
            </w:r>
          </w:p>
        </w:tc>
      </w:tr>
    </w:tbl>
    <w:p/>
    <w:p>
      <w:pPr>
        <w:pStyle w:val="Heading2"/>
      </w:pPr>
      <w:bookmarkStart w:id="7" w:name="_Toc7"/>
      <w:r>
        <w:t>ESCO</w:t>
      </w:r>
      <w:bookmarkEnd w:id="7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2431</w:t>
            </w:r>
          </w:p>
        </w:tc>
        <w:tc>
          <w:tcPr>
            <w:tcW w:w="3000" w:type="dxa"/>
          </w:tcPr>
          <w:p>
            <w:pPr/>
            <w:r>
              <w:rPr/>
              <w:t xml:space="preserve">Specialisté v oblasti reklamy a marketingu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http://data.europa.eu/esco/isco/C2431</w:t>
            </w:r>
          </w:p>
        </w:tc>
      </w:tr>
    </w:tbl>
    <w:p/>
    <w:p/>
    <w:p/>
    <w:p>
      <w:pPr>
        <w:pStyle w:val="Heading2"/>
      </w:pPr>
      <w:bookmarkStart w:id="8" w:name="_Toc8"/>
      <w:r>
        <w:t>Příklady činností</w:t>
      </w:r>
      <w:bookmarkEnd w:id="8"/>
    </w:p>
    <w:tbl>
      <w:tblGrid>
        <w:gridCol w:w="7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7000" w:type="dxa"/>
          </w:tcPr>
          <w:p>
            <w:pPr/>
            <w:r>
              <w:rPr>
                <w:b w:val="1"/>
                <w:bCs w:val="1"/>
              </w:rPr>
              <w:t xml:space="preserve">Příklady činností ze veřejného sektoru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třída</w:t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Zajišťování obchodní agendy organizace a její koordinace s ostatními úseky činnosti.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9</w:t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Provádění průzkumů a analýz trhu a navrhování obchodních opatření.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9</w:t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Zajišťování všech způsobů a forem propagace organizace nebo úseku její činnosti. Navrhování, zajišťování a organizace propagačních akcí.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8</w:t>
            </w:r>
          </w:p>
        </w:tc>
      </w:tr>
    </w:tbl>
    <w:p/>
    <w:p>
      <w:pPr>
        <w:pStyle w:val="Heading2"/>
      </w:pPr>
      <w:bookmarkStart w:id="9" w:name="_Toc9"/>
      <w:r>
        <w:t>Pracovní podmínky</w:t>
      </w:r>
      <w:bookmarkEnd w:id="9"/>
    </w:p>
    <w:p>
      <w:pPr/>
      <w:r>
        <w:rPr/>
        <w:t xml:space="preserve">Rizikové faktory pracovních podmínek a vyskytující se druhy zátěže upravuje nařízení vlády č. 361/2007 Sb., kterým se stanoví podmínky ochrany zdraví při práci, zákon č. 258/2000 Sb., o ochraně veřejného zdraví a zákon č. 262/2006 Sb., zákoník práce. Vždy vyplývají z pracovních podmínek, které se vztahují ke konkrétnímu zaměstnavateli, tudíž se mohou u různých zaměstnavatelů lišit.</w:t>
      </w:r>
    </w:p>
    <w:p/>
    <w:p>
      <w:pPr/>
      <w:r>
        <w:rPr/>
        <w:t xml:space="preserve">Určení míry výskytu faktorů, které mohou ovlivnit zdraví při práci vychází z druhu práce vykonávané na pracovišti. Faktory se zařazují do čtyř kategorií dle míry zdravotního rizika a jeho vlivu na zdraví. O zařazení prací do třetí nebo čtvrté kategorie rozhoduje příslušný orgán ochrany veřejného zdraví.</w:t>
      </w:r>
    </w:p>
    <w:p/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1. Stupeň zátěže (minimální zdravotní riziko) - Faktor se při výkonu práce nevyskytuje nebo je zátěž faktorem minimální, vliv faktoru je ze zdravotního hlediska nevýznamný.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2. Stupeň zátěže (únosná míra zdravotního rizika) - Ze zdravotního hlediska je míra zátěže faktorem únosná, nepřekračuje limity stanovené předpisy, vliv faktoru je akceptovatelný pro zdravého člověka.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3. Stupeň zátěže (významná míra zdravotního rizika) - Úroveň zátěže překračuje stanovené limitní hodnoty expozice (zátěže), na pracovištích je nutná realizace náhradních technických a organizačních opatření, nelze vyloučit negativní vliv na zdraví pracovníků.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4. Stupeň zátěže (vysoká míra zdravotního rizika) - Úroveň zátěže vysoce překračuje stanovené limitní hodnoty expozice, na pracovištích musí být dodržován soubor preventivních opatření, častěji dochází k poškození zdraví.</w:t>
      </w:r>
    </w:p>
    <w:p/>
    <w:p/>
    <w:p>
      <w:pPr>
        <w:pStyle w:val="Heading2"/>
      </w:pPr>
      <w:bookmarkStart w:id="10" w:name="_Toc10"/>
      <w:r>
        <w:t>Kvalifikace k výkonu povolání</w:t>
      </w:r>
      <w:bookmarkEnd w:id="10"/>
    </w:p>
    <w:p>
      <w:pPr>
        <w:pStyle w:val="Heading3"/>
      </w:pPr>
      <w:bookmarkStart w:id="11" w:name="_Toc11"/>
      <w:r>
        <w:t>Školní vzdělání</w:t>
      </w:r>
      <w:bookmarkEnd w:id="11"/>
    </w:p>
    <w:p/>
    <w:p>
      <w:pPr>
        <w:pStyle w:val="Heading4"/>
      </w:pPr>
      <w:bookmarkStart w:id="12" w:name="_Toc12"/>
      <w:r>
        <w:t>Nejvhodnější školní přípravu poskytují obory:</w:t>
      </w:r>
      <w:bookmarkEnd w:id="12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(bez vyučení) v oboru ekonomika a podnikání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6341M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Obchodní akademie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63-41-M/02</w:t>
            </w:r>
          </w:p>
        </w:tc>
      </w:tr>
    </w:tbl>
    <w:p/>
    <w:p>
      <w:pPr>
        <w:pStyle w:val="Heading4"/>
      </w:pPr>
      <w:bookmarkStart w:id="13" w:name="_Toc13"/>
      <w:r>
        <w:t>Vhodnou školní přípravu poskytují také obory:</w:t>
      </w:r>
      <w:bookmarkEnd w:id="13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Vyšší odborné vzdělání ve skupině oborů ekonomika a administrativa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63xxN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(bez vyučení) ve skupině oborů obchod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66xxM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(bez vyučení) ve skupině oborů ekonomika a administrativa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63xxM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Ekonomika a podnikání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63-41-M/01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Ekonomika a administrativa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63-xx-M/xx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Informační technologie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18-20-M/01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Informatické obory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18-xx-M/xx</w:t>
            </w:r>
          </w:p>
        </w:tc>
      </w:tr>
    </w:tbl>
    <w:p/>
    <w:p>
      <w:pPr>
        <w:pStyle w:val="Heading2"/>
      </w:pPr>
      <w:bookmarkStart w:id="14" w:name="_Toc14"/>
      <w:r>
        <w:t>Kompetenční požadavky</w:t>
      </w:r>
      <w:bookmarkEnd w:id="14"/>
    </w:p>
    <w:p>
      <w:pPr>
        <w:pStyle w:val="Heading3"/>
      </w:pPr>
      <w:bookmarkStart w:id="15" w:name="_Toc15"/>
      <w:r>
        <w:t>Odborné dovednosti</w:t>
      </w:r>
      <w:bookmarkEnd w:id="15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h11.D.5152</w:t>
            </w:r>
          </w:p>
        </w:tc>
        <w:tc>
          <w:tcPr>
            <w:tcW w:w="3000" w:type="dxa"/>
          </w:tcPr>
          <w:p>
            <w:pPr/>
            <w:r>
              <w:rPr/>
              <w:t xml:space="preserve">Vyhodnocování názorů veřejnosti na vybraná témata (vedení statistik, přehledů apod.)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h11.D.8153</w:t>
            </w:r>
          </w:p>
        </w:tc>
        <w:tc>
          <w:tcPr>
            <w:tcW w:w="3000" w:type="dxa"/>
          </w:tcPr>
          <w:p>
            <w:pPr/>
            <w:r>
              <w:rPr/>
              <w:t xml:space="preserve">Získávání a třídění různorodých informací od veřejnosti a z médií, popř. informací o dané organizaci či úřadě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h11.D.2021</w:t>
            </w:r>
          </w:p>
        </w:tc>
        <w:tc>
          <w:tcPr>
            <w:tcW w:w="3000" w:type="dxa"/>
          </w:tcPr>
          <w:p>
            <w:pPr/>
            <w:r>
              <w:rPr/>
              <w:t xml:space="preserve">Stanovování koncepcí obchodního zaměření organizace a zpracovávání marketingových strategií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h11.D.6021</w:t>
            </w:r>
          </w:p>
        </w:tc>
        <w:tc>
          <w:tcPr>
            <w:tcW w:w="3000" w:type="dxa"/>
          </w:tcPr>
          <w:p>
            <w:pPr/>
            <w:r>
              <w:rPr/>
              <w:t xml:space="preserve">Provádění analýz marketingu, vývoje trhu, mezinárodních obchodních vztahů a obchodní činnosti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h11.D.8011</w:t>
            </w:r>
          </w:p>
        </w:tc>
        <w:tc>
          <w:tcPr>
            <w:tcW w:w="3000" w:type="dxa"/>
          </w:tcPr>
          <w:p>
            <w:pPr/>
            <w:r>
              <w:rPr/>
              <w:t xml:space="preserve">Příprava podkladů pro tvorbu plánů, strategií a analýz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h11.D.1031</w:t>
            </w:r>
          </w:p>
        </w:tc>
        <w:tc>
          <w:tcPr>
            <w:tcW w:w="3000" w:type="dxa"/>
          </w:tcPr>
          <w:p>
            <w:pPr/>
            <w:r>
              <w:rPr/>
              <w:t xml:space="preserve">Příprava podkladů pro marketingový výzkum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h11.D.5031</w:t>
            </w:r>
          </w:p>
        </w:tc>
        <w:tc>
          <w:tcPr>
            <w:tcW w:w="3000" w:type="dxa"/>
          </w:tcPr>
          <w:p>
            <w:pPr/>
            <w:r>
              <w:rPr/>
              <w:t xml:space="preserve">Zpracovávání údajů zjištěných při marketingovém výzkumu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h11.D.2014</w:t>
            </w:r>
          </w:p>
        </w:tc>
        <w:tc>
          <w:tcPr>
            <w:tcW w:w="3000" w:type="dxa"/>
          </w:tcPr>
          <w:p>
            <w:pPr/>
            <w:r>
              <w:rPr/>
              <w:t xml:space="preserve">Zpracovávání marketingové strategie podniku (podle velikosti a charakteru podniku, podle charakteru výrobků, podle zákazníka, podle značky apod.)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h11.D.6022</w:t>
            </w:r>
          </w:p>
        </w:tc>
        <w:tc>
          <w:tcPr>
            <w:tcW w:w="3000" w:type="dxa"/>
          </w:tcPr>
          <w:p>
            <w:pPr/>
            <w:r>
              <w:rPr/>
              <w:t xml:space="preserve">Analyzování a monitoring trhu, vývojových trendů a odbytových příležitostí organizace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h11.C.2226</w:t>
            </w:r>
          </w:p>
        </w:tc>
        <w:tc>
          <w:tcPr>
            <w:tcW w:w="3000" w:type="dxa"/>
          </w:tcPr>
          <w:p>
            <w:pPr/>
            <w:r>
              <w:rPr/>
              <w:t xml:space="preserve">Reprezentace zájmů organizace na jednáních s obchodními partnery a dalšími subjekty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h11.D.2001</w:t>
            </w:r>
          </w:p>
        </w:tc>
        <w:tc>
          <w:tcPr>
            <w:tcW w:w="3000" w:type="dxa"/>
          </w:tcPr>
          <w:p>
            <w:pPr/>
            <w:r>
              <w:rPr/>
              <w:t xml:space="preserve">Zpracování plánů pro rozvoj a implementaci marketingové strategie organizace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h11.D.1034</w:t>
            </w:r>
          </w:p>
        </w:tc>
        <w:tc>
          <w:tcPr>
            <w:tcW w:w="3000" w:type="dxa"/>
          </w:tcPr>
          <w:p>
            <w:pPr/>
            <w:r>
              <w:rPr/>
              <w:t xml:space="preserve">Provádění analýz, vyhodnocení a výběr vhodných médií pro reklamní kampaně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6" w:name="_Toc16"/>
      <w:r>
        <w:t>Odborné znalosti</w:t>
      </w:r>
      <w:bookmarkEnd w:id="16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i51._.0001</w:t>
            </w:r>
          </w:p>
        </w:tc>
        <w:tc>
          <w:tcPr>
            <w:tcW w:w="3000" w:type="dxa"/>
          </w:tcPr>
          <w:p>
            <w:pPr/>
            <w:r>
              <w:rPr/>
              <w:t xml:space="preserve">management obecně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h11._.0001</w:t>
            </w:r>
          </w:p>
        </w:tc>
        <w:tc>
          <w:tcPr>
            <w:tcW w:w="3000" w:type="dxa"/>
          </w:tcPr>
          <w:p>
            <w:pPr/>
            <w:r>
              <w:rPr/>
              <w:t xml:space="preserve">marketing obecně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h11._.0002</w:t>
            </w:r>
          </w:p>
        </w:tc>
        <w:tc>
          <w:tcPr>
            <w:tcW w:w="3000" w:type="dxa"/>
          </w:tcPr>
          <w:p>
            <w:pPr/>
            <w:r>
              <w:rPr/>
              <w:t xml:space="preserve">trh, jeho subjekty a chování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h11._.0003</w:t>
            </w:r>
          </w:p>
        </w:tc>
        <w:tc>
          <w:tcPr>
            <w:tcW w:w="3000" w:type="dxa"/>
          </w:tcPr>
          <w:p>
            <w:pPr/>
            <w:r>
              <w:rPr/>
              <w:t xml:space="preserve">průzkum trhu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h11._.0004</w:t>
            </w:r>
          </w:p>
        </w:tc>
        <w:tc>
          <w:tcPr>
            <w:tcW w:w="3000" w:type="dxa"/>
          </w:tcPr>
          <w:p>
            <w:pPr/>
            <w:r>
              <w:rPr/>
              <w:t xml:space="preserve">marketingové plánování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h11._.0012</w:t>
            </w:r>
          </w:p>
        </w:tc>
        <w:tc>
          <w:tcPr>
            <w:tcW w:w="3000" w:type="dxa"/>
          </w:tcPr>
          <w:p>
            <w:pPr/>
            <w:r>
              <w:rPr/>
              <w:t xml:space="preserve">reklamní cíle a strategie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h11._.0023</w:t>
            </w:r>
          </w:p>
        </w:tc>
        <w:tc>
          <w:tcPr>
            <w:tcW w:w="3000" w:type="dxa"/>
          </w:tcPr>
          <w:p>
            <w:pPr/>
            <w:r>
              <w:rPr/>
              <w:t xml:space="preserve">klientela a potenciální klientela, péče o ni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h11._.0006</w:t>
            </w:r>
          </w:p>
        </w:tc>
        <w:tc>
          <w:tcPr>
            <w:tcW w:w="3000" w:type="dxa"/>
          </w:tcPr>
          <w:p>
            <w:pPr/>
            <w:r>
              <w:rPr/>
              <w:t xml:space="preserve">marketing a marketingová komunikace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7" w:name="_Toc17"/>
      <w:r>
        <w:t>Digitální kompetence</w:t>
      </w:r>
      <w:bookmarkEnd w:id="17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5.3</w:t>
            </w:r>
          </w:p>
        </w:tc>
        <w:tc>
          <w:tcPr>
            <w:tcW w:w="5000" w:type="dxa"/>
          </w:tcPr>
          <w:p>
            <w:pPr/>
            <w:r>
              <w:rPr/>
              <w:t xml:space="preserve">Kreativní využívání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Autorská práva a licence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Integrace a přepracování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Tvorba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18" w:name="_Toc18"/>
      <w:r>
        <w:t>Měkké kompetence</w:t>
      </w:r>
      <w:bookmarkEnd w:id="18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efektivní komunikaci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kooperaci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kreativitě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flexibilitě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aktivnímu přístupu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ovlivňování a rozvíjení ostatních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p/>
    <w:p>
      <w:pPr>
        <w:pStyle w:val="Heading2"/>
      </w:pPr>
      <w:bookmarkStart w:id="19" w:name="_Toc19"/>
      <w:r>
        <w:t>Zdravotní podmínky</w:t>
      </w:r>
      <w:bookmarkEnd w:id="19"/>
    </w:p>
    <w:p>
      <w:pPr>
        <w:pStyle w:val="Heading3"/>
      </w:pPr>
      <w:bookmarkStart w:id="20" w:name="_Toc20"/>
      <w:r>
        <w:t>Onemocnění omezující výkon povolání / specializace povolání.</w:t>
      </w:r>
      <w:bookmarkEnd w:id="20"/>
    </w:p>
    <w:p>
      <w:pPr>
        <w:numPr>
          <w:ilvl w:val="0"/>
          <w:numId w:val="5"/>
        </w:numPr>
      </w:pPr>
      <w:r>
        <w:rPr/>
        <w:t xml:space="preserve">Duševní poruchy a poruchy chování</w:t>
      </w:r>
    </w:p>
    <w:p>
      <w:pPr>
        <w:numPr>
          <w:ilvl w:val="0"/>
          <w:numId w:val="5"/>
        </w:numPr>
      </w:pPr>
      <w:r>
        <w:rPr/>
        <w:t xml:space="preserve">Závažná nervová onemocnění a psychosomatická onemocnění</w:t>
      </w:r>
    </w:p>
    <w:p>
      <w:pPr/>
      <w:r>
        <w:rPr>
          <w:sz w:val="16"/>
          <w:szCs w:val="16"/>
          <w:i w:val="1"/>
          <w:iCs w:val="1"/>
        </w:rPr>
        <w:t xml:space="preserve">Přesné posouzení zdravotního stavu s následným doporučením nebo nedoporučením výkonu této pozice je možné pouze po konzultaci s lékařem.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8369A02B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Specialista marketingu</dc:title>
  <dc:description>Specialista marketingu zajišťuje marketingové aktivity vycházející ze strategického plánu organizace, jejichž cílem je zviditelnění a propagace společnosti, produktů nebo konkrétní značky. Komplexně zajišťuje aktivity spojené s průzkumem trhu, spolupracuje s reklamními, marketingovými a PR agenturami a obchodním oddělením společnosti.</dc:description>
  <dc:subject/>
  <cp:keywords/>
  <cp:category>Povolání</cp:category>
  <cp:lastModifiedBy/>
  <dcterms:created xsi:type="dcterms:W3CDTF">2017-11-22T09:17:54+01:00</dcterms:created>
  <dcterms:modified xsi:type="dcterms:W3CDTF">2024-03-26T10:03:33+01:00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