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majetku a odpovědnosti za škodu</w:t>
      </w:r>
      <w:bookmarkEnd w:id="1"/>
    </w:p>
    <w:p>
      <w:pPr/>
      <w:r>
        <w:rPr/>
        <w:t xml:space="preserve">Likvidátor škod z pojištění majetku a odpovědnosti za škodu analyzuje, hodnotí přidělené škodné události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Stanovení výše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policií, ostatními orgány činnými v trestním řízení a správními orgány (např. správou sociálního zabezpečení, soudy, soudními znalci, hasičským sborem, zdravotními pojišťovnami).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B7C8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majetku a odpovědnosti za škodu</dc:title>
  <dc:description>Likvidátor škod z pojištění majetku a odpovědnosti za škodu analyzuje, hodnotí přidělené škodné události a stanovuje výši pojistného plnění.</dc:description>
  <dc:subject/>
  <cp:keywords/>
  <cp:category>Povolání</cp:category>
  <cp:lastModifiedBy/>
  <dcterms:created xsi:type="dcterms:W3CDTF">2017-11-22T09:08:06+01:00</dcterms:created>
  <dcterms:modified xsi:type="dcterms:W3CDTF">2017-11-22T09:08:06+01:00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