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Lakýrník a natěrač</w:t>
      </w:r>
      <w:bookmarkEnd w:id="1"/>
    </w:p>
    <w:p>
      <w:pPr/>
      <w:r>
        <w:rPr/>
        <w:t xml:space="preserve">Lakýrník a natěrač provádí lakýrnické a natěračské práce různými druhy nátěrových hmot v interiérech a exteriérech budov, na stavebních nebo strojírenských konstrukcích, nábytku a dalších předmětech nebo objektech.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Stavebnictví a zeměměřictví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stavební řemesla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výučním listem tříleté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Varnisher, Doper, Painter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Zpracování podkladů, výpočet natíraných ploch, množství nátěrů a spotřeby materiálu pro zakázku.</w:t>
      </w:r>
    </w:p>
    <w:p>
      <w:pPr>
        <w:numPr>
          <w:ilvl w:val="0"/>
          <w:numId w:val="5"/>
        </w:numPr>
      </w:pPr>
      <w:r>
        <w:rPr/>
        <w:t xml:space="preserve">Organizace a zřízení pracoviště a přesun hmot.</w:t>
      </w:r>
    </w:p>
    <w:p>
      <w:pPr>
        <w:numPr>
          <w:ilvl w:val="0"/>
          <w:numId w:val="5"/>
        </w:numPr>
      </w:pPr>
      <w:r>
        <w:rPr/>
        <w:t xml:space="preserve">Dodržování zásad bezpečnosti a ochrany zdraví při práci a protipožární ochrany.</w:t>
      </w:r>
    </w:p>
    <w:p>
      <w:pPr>
        <w:numPr>
          <w:ilvl w:val="0"/>
          <w:numId w:val="5"/>
        </w:numPr>
      </w:pPr>
      <w:r>
        <w:rPr/>
        <w:t xml:space="preserve">Volba vhodných pracovních postupů a hodnocení podmínek pro lakýrnické a natěračské práce.</w:t>
      </w:r>
    </w:p>
    <w:p>
      <w:pPr>
        <w:numPr>
          <w:ilvl w:val="0"/>
          <w:numId w:val="5"/>
        </w:numPr>
      </w:pPr>
      <w:r>
        <w:rPr/>
        <w:t xml:space="preserve">Příprava podkladu pro lakýrnické a natěračské práce.</w:t>
      </w:r>
    </w:p>
    <w:p>
      <w:pPr>
        <w:numPr>
          <w:ilvl w:val="0"/>
          <w:numId w:val="5"/>
        </w:numPr>
      </w:pPr>
      <w:r>
        <w:rPr/>
        <w:t xml:space="preserve">Příprava nátěrových hmot k použití.</w:t>
      </w:r>
    </w:p>
    <w:p>
      <w:pPr>
        <w:numPr>
          <w:ilvl w:val="0"/>
          <w:numId w:val="5"/>
        </w:numPr>
      </w:pPr>
      <w:r>
        <w:rPr/>
        <w:t xml:space="preserve">Nanášení nátěrových hmot ručně nebo stříkáním na různé povrchy.</w:t>
      </w:r>
    </w:p>
    <w:p>
      <w:pPr>
        <w:numPr>
          <w:ilvl w:val="0"/>
          <w:numId w:val="5"/>
        </w:numPr>
      </w:pPr>
      <w:r>
        <w:rPr/>
        <w:t xml:space="preserve">Provádění a opravy nátěrů na kov, dřevo a jiné podklady.</w:t>
      </w:r>
    </w:p>
    <w:p>
      <w:pPr>
        <w:numPr>
          <w:ilvl w:val="0"/>
          <w:numId w:val="5"/>
        </w:numPr>
      </w:pPr>
      <w:r>
        <w:rPr/>
        <w:t xml:space="preserve">Konečná úprava laků a nátěrů broušením a leštěním.</w:t>
      </w:r>
    </w:p>
    <w:p>
      <w:pPr>
        <w:numPr>
          <w:ilvl w:val="0"/>
          <w:numId w:val="5"/>
        </w:numPr>
      </w:pPr>
      <w:r>
        <w:rPr/>
        <w:t xml:space="preserve">Kontrola provedených nátěrů vizuálně a měřicími přístroji.</w:t>
      </w:r>
    </w:p>
    <w:p>
      <w:pPr>
        <w:numPr>
          <w:ilvl w:val="0"/>
          <w:numId w:val="5"/>
        </w:numPr>
      </w:pPr>
      <w:r>
        <w:rPr/>
        <w:t xml:space="preserve">Obsluha, seřízení a údržba zařízení.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Stavební lakýrníci a natěrači</w:t>
      </w:r>
    </w:p>
    <w:p>
      <w:pPr>
        <w:numPr>
          <w:ilvl w:val="0"/>
          <w:numId w:val="5"/>
        </w:numPr>
      </w:pPr>
      <w:r>
        <w:rPr/>
        <w:t xml:space="preserve">Malíři (včetně stavebních lakýrníků a natěračů), tapetáři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Malíři (včetně stavebních lakýrníků a natěračů), tapetáři (CZ-ISCO 7131)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28 379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37 191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49 354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27 668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41 774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51 645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7131</w:t>
            </w:r>
          </w:p>
        </w:tc>
        <w:tc>
          <w:tcPr>
            <w:tcW w:w="2000" w:type="dxa"/>
          </w:tcPr>
          <w:p>
            <w:pPr/>
            <w:r>
              <w:rPr/>
              <w:t xml:space="preserve">Malíři (včetně stavebních lakýrníků a natěračů), tapetáři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34 288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31 421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7131</w:t>
            </w:r>
          </w:p>
        </w:tc>
        <w:tc>
          <w:tcPr>
            <w:tcW w:w="3000" w:type="dxa"/>
          </w:tcPr>
          <w:p>
            <w:pPr/>
            <w:r>
              <w:rPr/>
              <w:t xml:space="preserve">Malíři (vč. stavebních lakýrníků a natěračů), tapetáři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http://data.europa.eu/esco/isco/C7131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Malíř a lakýrník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39-41-H/01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malíř-natěrač, malířské a natěračské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3657E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lakýrník, lakýrnické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2361H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Malířské a natěračské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36-57-E/01</w:t>
            </w:r>
          </w:p>
        </w:tc>
      </w:tr>
    </w:tbl>
    <w:p/>
    <w:p>
      <w:pPr>
        <w:pStyle w:val="Heading3"/>
      </w:pPr>
      <w:bookmarkStart w:id="13" w:name="_Toc13"/>
      <w:r>
        <w:t>Další vzdělání</w:t>
      </w:r>
      <w:bookmarkEnd w:id="13"/>
    </w:p>
    <w:p>
      <w:pPr>
        <w:pStyle w:val="Heading4"/>
      </w:pPr>
      <w:bookmarkStart w:id="14" w:name="_Toc14"/>
      <w:r>
        <w:t>Profesní kvalifikace</w:t>
      </w:r>
      <w:bookmarkEnd w:id="14"/>
    </w:p>
    <w:p>
      <w:pPr>
        <w:numPr>
          <w:ilvl w:val="0"/>
          <w:numId w:val="5"/>
        </w:numPr>
      </w:pPr>
      <w:r>
        <w:rPr/>
        <w:t xml:space="preserve">Lakýrník a natěrač / lakýrnice a natěračka (39-002-H)</w:t>
      </w:r>
    </w:p>
    <w:p/>
    <w:p/>
    <w:p>
      <w:pPr>
        <w:pStyle w:val="Heading2"/>
      </w:pPr>
      <w:bookmarkStart w:id="15" w:name="_Toc15"/>
      <w:r>
        <w:t>Kompetenční požadavky</w:t>
      </w:r>
      <w:bookmarkEnd w:id="15"/>
    </w:p>
    <w:p>
      <w:pPr>
        <w:pStyle w:val="Heading3"/>
      </w:pPr>
      <w:bookmarkStart w:id="16" w:name="_Toc16"/>
      <w:r>
        <w:t>Odborné dovednosti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e73.A.2019</w:t>
            </w:r>
          </w:p>
        </w:tc>
        <w:tc>
          <w:tcPr>
            <w:tcW w:w="3000" w:type="dxa"/>
          </w:tcPr>
          <w:p>
            <w:pPr/>
            <w:r>
              <w:rPr/>
              <w:t xml:space="preserve">Úpravy a dokončování lakovaných povrchů broušením a leštěním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g11.D.2117</w:t>
            </w:r>
          </w:p>
        </w:tc>
        <w:tc>
          <w:tcPr>
            <w:tcW w:w="3000" w:type="dxa"/>
          </w:tcPr>
          <w:p>
            <w:pPr/>
            <w:r>
              <w:rPr/>
              <w:t xml:space="preserve">Návrh pracovních postupů provádění a oprav nátěrů na kov, dřevo a jiné podklady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g11.B.1046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Obsluha, seřízení a údržba zařízení na nanášení nátěrových hmot stříkáním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g11.A.2062</w:t>
            </w:r>
          </w:p>
        </w:tc>
        <w:tc>
          <w:tcPr>
            <w:tcW w:w="3000" w:type="dxa"/>
          </w:tcPr>
          <w:p>
            <w:pPr/>
            <w:r>
              <w:rPr/>
              <w:t xml:space="preserve">Nanášení nátěrů štětcem, válečkem a stříkacím zařízením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g11.D.2123</w:t>
            </w:r>
          </w:p>
        </w:tc>
        <w:tc>
          <w:tcPr>
            <w:tcW w:w="3000" w:type="dxa"/>
          </w:tcPr>
          <w:p>
            <w:pPr/>
            <w:r>
              <w:rPr/>
              <w:t xml:space="preserve">Návrh barevného řešení lakovaných a natíraných předmětů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g11.D.3926</w:t>
            </w:r>
          </w:p>
        </w:tc>
        <w:tc>
          <w:tcPr>
            <w:tcW w:w="3000" w:type="dxa"/>
          </w:tcPr>
          <w:p>
            <w:pPr/>
            <w:r>
              <w:rPr/>
              <w:t xml:space="preserve">Posuzování stavu podkladu před nanášením nátěrových hmot; stanovení způsobu přípravy podkladu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g11.A.2068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laků a nátěrů na kov, dřevo a jiné podklady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g11.A.2069</w:t>
            </w:r>
          </w:p>
        </w:tc>
        <w:tc>
          <w:tcPr>
            <w:tcW w:w="3000" w:type="dxa"/>
          </w:tcPr>
          <w:p>
            <w:pPr/>
            <w:r>
              <w:rPr/>
              <w:t xml:space="preserve">Opravy laků a nátěrů na kov, dřevo a jiné podklady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g11.D.1092</w:t>
            </w:r>
          </w:p>
        </w:tc>
        <w:tc>
          <w:tcPr>
            <w:tcW w:w="3000" w:type="dxa"/>
          </w:tcPr>
          <w:p>
            <w:pPr/>
            <w:r>
              <w:rPr/>
              <w:t xml:space="preserve">Čtení stavebních výkresů a dokumentace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g11.D.1099</w:t>
            </w:r>
          </w:p>
        </w:tc>
        <w:tc>
          <w:tcPr>
            <w:tcW w:w="3000" w:type="dxa"/>
          </w:tcPr>
          <w:p>
            <w:pPr/>
            <w:r>
              <w:rPr/>
              <w:t xml:space="preserve">Výpočet množství nátěrů (v metrech čtverečných) a spotřeby materiálů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g11.A.1107</w:t>
            </w:r>
          </w:p>
        </w:tc>
        <w:tc>
          <w:tcPr>
            <w:tcW w:w="3000" w:type="dxa"/>
          </w:tcPr>
          <w:p>
            <w:pPr/>
            <w:r>
              <w:rPr/>
              <w:t xml:space="preserve">Tmelení a broušení tmelených ploch při lakýrnických a natěračských pracích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g11.A.1108</w:t>
            </w:r>
          </w:p>
        </w:tc>
        <w:tc>
          <w:tcPr>
            <w:tcW w:w="3000" w:type="dxa"/>
          </w:tcPr>
          <w:p>
            <w:pPr/>
            <w:r>
              <w:rPr/>
              <w:t xml:space="preserve">Příprava nátěrových hmot pro lakýrnické a natěračské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Odborné znalosti</w:t>
      </w:r>
      <w:bookmarkEnd w:id="17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technické kreslení ve stavebnictví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g11._.0030</w:t>
            </w:r>
          </w:p>
        </w:tc>
        <w:tc>
          <w:tcPr>
            <w:tcW w:w="3000" w:type="dxa"/>
          </w:tcPr>
          <w:p>
            <w:pPr/>
            <w:r>
              <w:rPr/>
              <w:t xml:space="preserve">lakýrnické a natěračské nátěrové hmoty a další prostředky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g11._.0044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lakýrnických a natěračských prací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l24._.0022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 a požární ochrana ve stavebnictví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e73._.0048</w:t>
            </w:r>
          </w:p>
        </w:tc>
        <w:tc>
          <w:tcPr>
            <w:tcW w:w="3000" w:type="dxa"/>
          </w:tcPr>
          <w:p>
            <w:pPr/>
            <w:r>
              <w:rPr/>
              <w:t xml:space="preserve">nátěrové hmoty, spojovací materiál, tmely a jiné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8" w:name="_Toc18"/>
      <w:r>
        <w:t>Obecné dovednosti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b08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dalším cizím jazyce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19" w:name="_Toc19"/>
      <w:r>
        <w:t>Digitální kompetence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20" w:name="_Toc20"/>
      <w:r>
        <w:t>Měkké kompetence</w:t>
      </w:r>
      <w:bookmarkEnd w:id="2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1" w:name="_Toc21"/>
      <w:r>
        <w:t>Zdravotní podmínky</w:t>
      </w:r>
      <w:bookmarkEnd w:id="21"/>
    </w:p>
    <w:p>
      <w:pPr>
        <w:pStyle w:val="Heading3"/>
      </w:pPr>
      <w:bookmarkStart w:id="22" w:name="_Toc22"/>
      <w:r>
        <w:t>Onemocnění omezující výkon povolání / specializace povolání.</w:t>
      </w:r>
      <w:bookmarkEnd w:id="22"/>
    </w:p>
    <w:p>
      <w:pPr>
        <w:numPr>
          <w:ilvl w:val="0"/>
          <w:numId w:val="5"/>
        </w:numPr>
      </w:pPr>
      <w:r>
        <w:rPr/>
        <w:t xml:space="preserve">Alergická onemocnění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4EBE6CFC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Lakýrník a natěrač</dc:title>
  <dc:description>Lakýrník a natěrač provádí lakýrnické a natěračské práce různými druhy nátěrových hmot v interiérech a exteriérech budov, na stavebních nebo strojírenských konstrukcích, nábytku a dalších předmětech nebo objektech.</dc:description>
  <dc:subject/>
  <cp:keywords/>
  <cp:category>Povolání</cp:category>
  <cp:lastModifiedBy/>
  <dcterms:created xsi:type="dcterms:W3CDTF">2017-11-22T09:16:17+01:00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