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</w:t>
      </w:r>
      <w:bookmarkEnd w:id="1"/>
    </w:p>
    <w:p>
      <w:pPr/>
      <w:r>
        <w:rPr/>
        <w:t xml:space="preserve"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vodních toků na svěřeném úseku povodí.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Řízení a organizace dispečerské činnosti na vodních tocích, vodních dílech a v celém povodí.</w:t>
      </w:r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povodí.</w:t>
      </w:r>
    </w:p>
    <w:p>
      <w:pPr>
        <w:numPr>
          <w:ilvl w:val="0"/>
          <w:numId w:val="5"/>
        </w:numPr>
      </w:pPr>
      <w:r>
        <w:rPr/>
        <w:t xml:space="preserve">Plnění úkolů v oblasti provozního monitoringu povrchových vod.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Stanovování podmínek ke složitým záměrům a výstavbě všech investorů v povodí.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7F1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</dc:title>
  <dc:description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dc:description>
  <dc:subject/>
  <cp:keywords/>
  <cp:category>Povolání</cp:category>
  <cp:lastModifiedBy/>
  <dcterms:created xsi:type="dcterms:W3CDTF">2017-11-22T09:15:29+01:00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