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keramiky</w:t>
      </w:r>
      <w:bookmarkEnd w:id="1"/>
    </w:p>
    <w:p>
      <w:pPr/>
      <w:r>
        <w:rPr/>
        <w:t xml:space="preserve">Obráběč keramiky zhotovuje výrobky z keramiky obráběním.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obráběním.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Obráběč/obráběčka keramiky (28-009-H)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ve vlhkém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CBB2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keramiky</dc:title>
  <dc:description>Obráběč keramiky zhotovuje výrobky z keramiky obráběním.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