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Zubní lékař se specializovanou způsobilostí</w:t>
      </w:r>
      <w:bookmarkEnd w:id="1"/>
    </w:p>
    <w:p>
      <w:pPr/>
      <w:r>
        <w:rPr/>
        <w:t xml:space="preserve">Zubní lékaře se specializovanou způsobilostí samostatně poskytuje v rozsahu zákona 372/2011 Sb., o zdravotních službách, preventivní, diagnostickou, léčebnou, posudkovou a dispenzární péči, vykonává vzdělávací, výzkumnou, vývojovou a revizní činnost v oblasti péče o zuby, ústa, čelisti a související tkáně a dále metodickou a koncepční činnost v oblasti zdravotnictví.</w:t>
      </w:r>
    </w:p>
    <w:p/>
    <w:tbl>
      <w:tblGrid>
        <w:gridCol w:w="3000" w:type="dxa"/>
        <w:gridCol w:w="6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/>
            <w:r>
              <w:rPr>
                <w:b w:val="1"/>
                <w:bCs w:val="1"/>
              </w:rPr>
              <w:t xml:space="preserve">Odborný směr:</w:t>
            </w:r>
          </w:p>
        </w:tc>
        <w:tc>
          <w:tcPr>
            <w:tcW w:w="6000" w:type="dxa"/>
          </w:tcPr>
          <w:p>
            <w:pPr/>
            <w:r>
              <w:rPr/>
              <w:t xml:space="preserve">Zdravotnictví a farmacie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Odborný podsměr:</w:t>
            </w:r>
          </w:p>
        </w:tc>
        <w:tc>
          <w:tcPr/>
          <w:p>
            <w:pPr/>
            <w:r>
              <w:rPr/>
              <w:t xml:space="preserve">lékařská povolání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Kvalifikační úroveň:</w:t>
            </w:r>
          </w:p>
        </w:tc>
        <w:tc>
          <w:tcPr/>
          <w:p>
            <w:pPr/>
            <w:r>
              <w:rPr/>
              <w:t xml:space="preserve">Doktorský studijní program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Alternativní názvy:</w:t>
            </w:r>
          </w:p>
        </w:tc>
        <w:tc>
          <w:tcPr/>
          <w:p>
            <w:pPr/>
            <w:r>
              <w:rPr/>
              <w:t xml:space="preserve">Zubní lékař se specializací, Orální a maxilofaciální chirurg, Ortodontista, Klinický stomatolog, Dentist, Zahnarzt, Ortodontist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Regulovaná jednotka práce:</w:t>
            </w:r>
          </w:p>
        </w:tc>
        <w:tc>
          <w:tcPr/>
          <w:p>
            <w:pPr/>
            <w:r>
              <w:rPr/>
              <w:t xml:space="preserve">Ano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Předpis regulující výkon povolání:</w:t>
            </w:r>
          </w:p>
        </w:tc>
        <w:tc>
          <w:tcPr/>
          <w:p>
            <w:pPr/>
            <w:r>
              <w:rPr/>
              <w:t xml:space="preserve">Povolání je vykonáváno v rámci zákona č. 95/2004 Sb., o podmínkách získávání a uznávání odborné způsobilosti a specializované způsobilosti k výkonu zdravotnického povolání lékaře, zubního lékaře a farmaceuta.</w:t>
            </w:r>
          </w:p>
        </w:tc>
      </w:tr>
    </w:tbl>
    <w:p/>
    <w:p>
      <w:pPr>
        <w:pStyle w:val="Heading2"/>
      </w:pPr>
      <w:bookmarkStart w:id="2" w:name="_Toc2"/>
      <w:r>
        <w:t>CZ-ISCO</w:t>
      </w:r>
      <w:bookmarkEnd w:id="2"/>
    </w:p>
    <w:p>
      <w:pPr>
        <w:numPr>
          <w:ilvl w:val="0"/>
          <w:numId w:val="5"/>
        </w:numPr>
      </w:pPr>
      <w:r>
        <w:rPr/>
        <w:t xml:space="preserve">Kliničtí stomatologové</w:t>
      </w:r>
    </w:p>
    <w:p>
      <w:pPr>
        <w:numPr>
          <w:ilvl w:val="0"/>
          <w:numId w:val="5"/>
        </w:numPr>
      </w:pPr>
      <w:r>
        <w:rPr/>
        <w:t xml:space="preserve">Ortodontisté</w:t>
      </w:r>
    </w:p>
    <w:p>
      <w:pPr>
        <w:numPr>
          <w:ilvl w:val="0"/>
          <w:numId w:val="5"/>
        </w:numPr>
      </w:pPr>
      <w:r>
        <w:rPr/>
        <w:t xml:space="preserve">Orální a maxilofaciální chirurgové</w:t>
      </w:r>
    </w:p>
    <w:p>
      <w:pPr>
        <w:numPr>
          <w:ilvl w:val="0"/>
          <w:numId w:val="5"/>
        </w:numPr>
      </w:pPr>
      <w:r>
        <w:rPr/>
        <w:t xml:space="preserve">Zubní lékaři</w:t>
      </w:r>
    </w:p>
    <w:p/>
    <w:p>
      <w:pPr>
        <w:pStyle w:val="Heading3"/>
      </w:pPr>
      <w:bookmarkStart w:id="3" w:name="_Toc3"/>
      <w:r>
        <w:t>Hrubé měsíční mzdy v roce 2025 celkem</w:t>
      </w:r>
      <w:bookmarkEnd w:id="3"/>
    </w:p>
    <w:tbl>
      <w:tblGrid>
        <w:gridCol w:w="1000" w:type="dxa"/>
        <w:gridCol w:w="2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  <w:gridSpan w:val="2"/>
          </w:tcPr>
          <w:p/>
        </w:tc>
        <w:tc>
          <w:tcPr>
            <w:tcW w:w="6000" w:type="dxa"/>
            <w:gridSpan w:val="2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 za ČR celkem</w:t>
            </w:r>
          </w:p>
        </w:tc>
      </w:tr>
      <w:tr>
        <w:trPr/>
        <w:tc>
          <w:tcPr>
            <w:tcW w:w="1000" w:type="dxa"/>
          </w:tcPr>
          <w:p>
            <w:pPr/>
            <w:r>
              <w:rPr>
                <w:b w:val="1"/>
                <w:bCs w:val="1"/>
              </w:rPr>
              <w:t xml:space="preserve">CZ-ISCO</w:t>
            </w:r>
          </w:p>
        </w:tc>
        <w:tc>
          <w:tcPr>
            <w:tcW w:w="2000" w:type="dxa"/>
          </w:tcPr>
          <w:p/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2261</w:t>
            </w:r>
          </w:p>
        </w:tc>
        <w:tc>
          <w:tcPr>
            <w:tcW w:w="2000" w:type="dxa"/>
          </w:tcPr>
          <w:p>
            <w:pPr/>
            <w:r>
              <w:rPr/>
              <w:t xml:space="preserve">Zubní lékaři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98 582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45 572 Kč</w:t>
            </w:r>
          </w:p>
        </w:tc>
      </w:tr>
    </w:tbl>
    <w:p/>
    <w:p>
      <w:pPr>
        <w:pStyle w:val="Heading2"/>
      </w:pPr>
      <w:bookmarkStart w:id="4" w:name="_Toc4"/>
      <w:r>
        <w:t>ESCO</w:t>
      </w:r>
      <w:bookmarkEnd w:id="4"/>
    </w:p>
    <w:tbl>
      <w:tblGrid>
        <w:gridCol w:w="3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 podskupiny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 podskupiny v ESCO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URL - podskupiny v ESCO</w:t>
            </w:r>
          </w:p>
        </w:tc>
      </w:tr>
      <w:tr>
        <w:trPr/>
        <w:tc>
          <w:tcPr>
            <w:tcW w:w="3000" w:type="dxa"/>
          </w:tcPr>
          <w:p>
            <w:pPr/>
            <w:r>
              <w:rPr/>
              <w:t xml:space="preserve">2261</w:t>
            </w:r>
          </w:p>
        </w:tc>
        <w:tc>
          <w:tcPr>
            <w:tcW w:w="3000" w:type="dxa"/>
          </w:tcPr>
          <w:p>
            <w:pPr/>
            <w:r>
              <w:rPr/>
              <w:t xml:space="preserve">Zubní lékaři</w:t>
            </w:r>
          </w:p>
        </w:tc>
        <w:tc>
          <w:tcPr>
            <w:tcW w:w="3000" w:type="dxa"/>
          </w:tcPr>
          <w:p>
            <w:pPr/>
            <w:r>
              <w:rPr/>
              <w:t xml:space="preserve">http://data.europa.eu/esco/isco/C2261</w:t>
            </w:r>
          </w:p>
        </w:tc>
      </w:tr>
    </w:tbl>
    <w:p/>
    <w:p/>
    <w:p/>
    <w:p>
      <w:pPr>
        <w:pStyle w:val="Heading2"/>
      </w:pPr>
      <w:bookmarkStart w:id="5" w:name="_Toc5"/>
      <w:r>
        <w:t>Kvalifikace k výkonu povolání</w:t>
      </w:r>
      <w:bookmarkEnd w:id="5"/>
    </w:p>
    <w:p>
      <w:pPr>
        <w:pStyle w:val="Heading3"/>
      </w:pPr>
      <w:bookmarkStart w:id="6" w:name="_Toc6"/>
      <w:r>
        <w:t>Školní vzdělání</w:t>
      </w:r>
      <w:bookmarkEnd w:id="6"/>
    </w:p>
    <w:p/>
    <w:p>
      <w:pPr>
        <w:pStyle w:val="Heading4"/>
      </w:pPr>
      <w:bookmarkStart w:id="7" w:name="_Toc7"/>
      <w:r>
        <w:t>Nejvhodnější školní přípravu poskytují obory:</w:t>
      </w:r>
      <w:bookmarkEnd w:id="7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AKVO</w:t>
            </w:r>
          </w:p>
        </w:tc>
        <w:tc>
          <w:tcPr>
            <w:tcW w:w="5000" w:type="dxa"/>
          </w:tcPr>
          <w:p>
            <w:pPr/>
            <w:r>
              <w:rPr/>
              <w:t xml:space="preserve">Zubní lékařství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5104T003</w:t>
            </w:r>
          </w:p>
        </w:tc>
      </w:tr>
      <w:tr>
        <w:trPr/>
        <w:tc>
          <w:tcPr>
            <w:tcW w:w="2000" w:type="dxa"/>
          </w:tcPr>
          <w:p/>
        </w:tc>
        <w:tc>
          <w:tcPr>
            <w:tcW w:w="5000" w:type="dxa"/>
          </w:tcPr>
          <w:p>
            <w:pPr/>
            <w:r>
              <w:rPr/>
              <w:t xml:space="preserve">Specializační vzdělávání zubních lékařů dle Přílohy 1 zákona č. 95/2004 Sb., o podmínkách získávání a uznávání odborné způsobilosti a specializované způsobilosti k výkonu zdravotnického povolání lékaře, zubního lékaře a farmaceuta, v platném znění vydaném Věstníkem Ministerstva zdravotnictví ČR, zakončené atestační zkouškou a diplomem o specializované způsobilosti v oboru.</w:t>
            </w:r>
          </w:p>
        </w:tc>
        <w:tc>
          <w:tcPr>
            <w:tcW w:w="2000" w:type="dxa"/>
          </w:tcPr>
          <w:p/>
        </w:tc>
      </w:tr>
    </w:tbl>
    <w:p/>
    <w:p>
      <w:pPr>
        <w:pStyle w:val="Heading4"/>
      </w:pPr>
      <w:bookmarkStart w:id="8" w:name="_Toc8"/>
      <w:r>
        <w:t>Vhodnou školní přípravu poskytují také obory:</w:t>
      </w:r>
      <w:bookmarkEnd w:id="8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</w:tbl>
    <w:p/>
    <w:p>
      <w:pPr/>
      <w:r>
        <w:rPr>
          <w:b w:val="1"/>
          <w:bCs w:val="1"/>
        </w:rPr>
        <w:t xml:space="preserve">Poznámka ke vzdělání</w:t>
      </w:r>
    </w:p>
    <w:p>
      <w:pPr/>
      <w:r>
        <w:rPr/>
        <w:t xml:space="preserve">Další možnou školní přípravu definuje příslušná legislativa.</w:t>
      </w:r>
    </w:p>
    <w:p/>
    <w:p/>
    <w:p>
      <w:pPr>
        <w:pStyle w:val="Heading3"/>
      </w:pPr>
      <w:bookmarkStart w:id="9" w:name="_Toc9"/>
      <w:r>
        <w:t>Další vzdělání</w:t>
      </w:r>
      <w:bookmarkEnd w:id="9"/>
    </w:p>
    <w:p>
      <w:pPr>
        <w:pStyle w:val="Heading3"/>
      </w:pPr>
      <w:bookmarkStart w:id="10" w:name="_Toc10"/>
      <w:r>
        <w:t>Legislativní požadavky</w:t>
      </w:r>
      <w:bookmarkEnd w:id="10"/>
    </w:p>
    <w:p>
      <w:pPr>
        <w:numPr>
          <w:ilvl w:val="0"/>
          <w:numId w:val="5"/>
        </w:numPr>
      </w:pPr>
      <w:r>
        <w:rPr/>
        <w:t xml:space="preserve">povinné - Odborná způsobilost podle § 7 zákona č. 95/2004 Sb., o podmínkách získávání a uznávání odborné způsobilosti a specializované způsobilosti k výkonu zdravotnického povolání lékaře, zubního lékaře a farmaceuta.</w:t>
      </w:r>
    </w:p>
    <w:p>
      <w:pPr>
        <w:numPr>
          <w:ilvl w:val="0"/>
          <w:numId w:val="5"/>
        </w:numPr>
      </w:pPr>
      <w:r>
        <w:rPr/>
        <w:t xml:space="preserve">povinné - Specializovaná způsobilost podle § 8 zákona č. 95/2004 Sb., o podmínkách získávání a uznávání odborné způsobilosti a specializované způsobilosti k výkonu zdravotnického povolání lékaře, zubního lékaře a farmaceuta.</w:t>
      </w:r>
    </w:p>
    <w:p>
      <w:pPr>
        <w:numPr>
          <w:ilvl w:val="0"/>
          <w:numId w:val="5"/>
        </w:numPr>
      </w:pPr>
      <w:r>
        <w:rPr/>
        <w:t xml:space="preserve">povinné - Členství v České stomatologické komoře opravňující k výkonu povolání stomatologa na území ČR dle zákona č. 220/1991 Sb., o České lékařské komoře, České stomatologické komoře a České lékárnické komoře.</w:t>
      </w:r>
    </w:p>
    <w:p/>
    <w:p>
      <w:pPr>
        <w:pStyle w:val="Heading3"/>
      </w:pPr>
      <w:bookmarkStart w:id="11" w:name="_Toc11"/>
      <w:r>
        <w:t>Další vhodné kvalifikace</w:t>
      </w:r>
      <w:bookmarkEnd w:id="11"/>
    </w:p>
    <w:p>
      <w:pPr>
        <w:numPr>
          <w:ilvl w:val="0"/>
          <w:numId w:val="5"/>
        </w:numPr>
      </w:pPr>
      <w:r>
        <w:rPr/>
        <w:t xml:space="preserve">povinné - Povinnost celoživotního vzdělávání lékařů dle zákona č. 95/2004 Sb., o podmínkách získávání a uznávání odborné způsobilosti a specializované způsobilosti k výkonu zdravotnického povolání lékaře, zubního lékaře a farmaceuta.</w:t>
      </w:r>
    </w:p>
    <w:p>
      <w:pPr>
        <w:numPr>
          <w:ilvl w:val="0"/>
          <w:numId w:val="5"/>
        </w:numPr>
      </w:pPr>
      <w:r>
        <w:rPr/>
        <w:t xml:space="preserve">doporučené - Uznávání způsobilosti k výkonu povolání lékaře, zubního lékaře a farmaceuta získané v jiném členském státě EU než v České republice nebo jiném smluvním státě Dohody o Evropském hospodářském prostoru nebo Švýcarské konfederaci se řídí částí sedm zákona č. 95/2004 Sb., o podmínkách získávání a uznávání odborné způsobilosti a specializované způsobilosti k výkonu zdravotnického povolání lékaře, zubního lékaře a farmaceuta – tj. tzv. automatickým uznáváním odborné kvalifikace (viz. Sdělení Ministerstva zdravotnictví ČR č. 275/2007), dále na základě nabytých práv, popř. v rámci řízení o uznání způsobilosti k výkonu povolání lékaře (viz. zákon č. 18/2004 Sb., zákon o uznávání odborné kvalifikace).</w:t>
      </w:r>
    </w:p>
    <w:p>
      <w:pPr>
        <w:numPr>
          <w:ilvl w:val="0"/>
          <w:numId w:val="5"/>
        </w:numPr>
      </w:pPr>
      <w:r>
        <w:rPr/>
        <w:t xml:space="preserve">doporučené - Uznávání způsobilosti k výkonu povolání lékaře, zubního lékaře a farmaceuta získané v jiném než členském státě EU nebo mimo státy smluvním státy Dohody o Evropském hospodářském prostoru nebo Švýcarské konfederaci se řídí částí osm zákona č. 95/2004 Sb., o podmínkách získávání a uznávání odborné způsobilosti a specializované způsobilosti k výkonu zdravotnického povolání lékaře, zubního lékaře a farmaceuta – tj. úspěšným složením aprobační zkoušky (viz. vyhláška 188/2009 Sb., o zkouškách lékařů, zubních lékařů a farmaceutů)</w:t>
      </w:r>
    </w:p>
    <w:p/>
    <w:p/>
    <w:p>
      <w:pPr>
        <w:pStyle w:val="Heading2"/>
      </w:pPr>
      <w:bookmarkStart w:id="12" w:name="_Toc12"/>
      <w:r>
        <w:t>Kompetenční požadavky</w:t>
      </w:r>
      <w:bookmarkEnd w:id="12"/>
    </w:p>
    <w:p>
      <w:pPr>
        <w:pStyle w:val="Heading3"/>
      </w:pPr>
      <w:bookmarkStart w:id="13" w:name="_Toc13"/>
      <w:r>
        <w:t>Odborné dovednosti</w:t>
      </w:r>
      <w:bookmarkEnd w:id="13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k14.D.0007</w:t>
            </w:r>
          </w:p>
        </w:tc>
        <w:tc>
          <w:tcPr>
            <w:tcW w:w="3000" w:type="dxa"/>
          </w:tcPr>
          <w:p>
            <w:pPr/>
            <w:r>
              <w:rPr/>
              <w:t xml:space="preserve">Poskytování preventivní péče v zubním lékařství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k14.D.0008</w:t>
            </w:r>
          </w:p>
        </w:tc>
        <w:tc>
          <w:tcPr>
            <w:tcW w:w="3000" w:type="dxa"/>
          </w:tcPr>
          <w:p>
            <w:pPr/>
            <w:r>
              <w:rPr/>
              <w:t xml:space="preserve">Poskytování diagnostické péče v zubním lékařství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k14.D.0006</w:t>
            </w:r>
          </w:p>
        </w:tc>
        <w:tc>
          <w:tcPr>
            <w:tcW w:w="3000" w:type="dxa"/>
          </w:tcPr>
          <w:p>
            <w:pPr/>
            <w:r>
              <w:rPr/>
              <w:t xml:space="preserve">Poskytování léčebné péče v zubním lékařství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k14.D.0005</w:t>
            </w:r>
          </w:p>
        </w:tc>
        <w:tc>
          <w:tcPr>
            <w:tcW w:w="3000" w:type="dxa"/>
          </w:tcPr>
          <w:p>
            <w:pPr/>
            <w:r>
              <w:rPr/>
              <w:t xml:space="preserve">Poskytování dispenzární péče v zubním lékařství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k14.D.0004</w:t>
            </w:r>
          </w:p>
        </w:tc>
        <w:tc>
          <w:tcPr>
            <w:tcW w:w="3000" w:type="dxa"/>
          </w:tcPr>
          <w:p>
            <w:pPr/>
            <w:r>
              <w:rPr/>
              <w:t xml:space="preserve">Poskytování posudkové péče v zubním lékařství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k14.D.0001</w:t>
            </w:r>
          </w:p>
        </w:tc>
        <w:tc>
          <w:tcPr>
            <w:tcW w:w="3000" w:type="dxa"/>
          </w:tcPr>
          <w:p>
            <w:pPr/>
            <w:r>
              <w:rPr/>
              <w:t xml:space="preserve">Aplikování odborných dovedností v příslušném oboru specializačního vzdělávání zubních lékařů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8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k14.C.0009</w:t>
            </w:r>
          </w:p>
        </w:tc>
        <w:tc>
          <w:tcPr>
            <w:tcW w:w="3000" w:type="dxa"/>
          </w:tcPr>
          <w:p>
            <w:pPr/>
            <w:r>
              <w:rPr/>
              <w:t xml:space="preserve">Vykonávání vzdělávací činnosti v oblasti péče o zuby, ústa, čelisti a související tkáně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k14.D.0003</w:t>
            </w:r>
          </w:p>
        </w:tc>
        <w:tc>
          <w:tcPr>
            <w:tcW w:w="3000" w:type="dxa"/>
          </w:tcPr>
          <w:p>
            <w:pPr/>
            <w:r>
              <w:rPr/>
              <w:t xml:space="preserve">Vykonávání výzkumné a vývojové činnosti v oblasti péče o zuby, ústa, čelisti a související tkáně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k14.D.0002</w:t>
            </w:r>
          </w:p>
        </w:tc>
        <w:tc>
          <w:tcPr>
            <w:tcW w:w="3000" w:type="dxa"/>
          </w:tcPr>
          <w:p>
            <w:pPr/>
            <w:r>
              <w:rPr/>
              <w:t xml:space="preserve">Vykonávání revizní činnosti v oblasti péče o zuby, ústa, čelisti a související tkáně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k14.Z.0002</w:t>
            </w:r>
          </w:p>
        </w:tc>
        <w:tc>
          <w:tcPr>
            <w:tcW w:w="3000" w:type="dxa"/>
          </w:tcPr>
          <w:p>
            <w:pPr/>
            <w:r>
              <w:rPr/>
              <w:t xml:space="preserve">Vykonávání metodické a koncepční činnosti ve zdravotnictví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8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4" w:name="_Toc14"/>
      <w:r>
        <w:t>Odborné znalosti</w:t>
      </w:r>
      <w:bookmarkEnd w:id="14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k14._.0002</w:t>
            </w:r>
          </w:p>
        </w:tc>
        <w:tc>
          <w:tcPr>
            <w:tcW w:w="3000" w:type="dxa"/>
          </w:tcPr>
          <w:p>
            <w:pPr/>
            <w:r>
              <w:rPr/>
              <w:t xml:space="preserve">konzervační zubní lékařství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k14._.0003</w:t>
            </w:r>
          </w:p>
        </w:tc>
        <w:tc>
          <w:tcPr>
            <w:tcW w:w="3000" w:type="dxa"/>
          </w:tcPr>
          <w:p>
            <w:pPr/>
            <w:r>
              <w:rPr/>
              <w:t xml:space="preserve">parodontologie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k14._.0004</w:t>
            </w:r>
          </w:p>
        </w:tc>
        <w:tc>
          <w:tcPr>
            <w:tcW w:w="3000" w:type="dxa"/>
          </w:tcPr>
          <w:p>
            <w:pPr/>
            <w:r>
              <w:rPr/>
              <w:t xml:space="preserve">zubní chirurgie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k14._.0005</w:t>
            </w:r>
          </w:p>
        </w:tc>
        <w:tc>
          <w:tcPr>
            <w:tcW w:w="3000" w:type="dxa"/>
          </w:tcPr>
          <w:p>
            <w:pPr/>
            <w:r>
              <w:rPr/>
              <w:t xml:space="preserve">zubní protetika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k14._.0031</w:t>
            </w:r>
          </w:p>
        </w:tc>
        <w:tc>
          <w:tcPr>
            <w:tcW w:w="3000" w:type="dxa"/>
          </w:tcPr>
          <w:p>
            <w:pPr/>
            <w:r>
              <w:rPr/>
              <w:t xml:space="preserve">ortodoncie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k14._.0007</w:t>
            </w:r>
          </w:p>
        </w:tc>
        <w:tc>
          <w:tcPr>
            <w:tcW w:w="3000" w:type="dxa"/>
          </w:tcPr>
          <w:p>
            <w:pPr/>
            <w:r>
              <w:rPr/>
              <w:t xml:space="preserve">radiodiagnostika v zubním lékařství, včetně radiační ochrany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k14._.0008</w:t>
            </w:r>
          </w:p>
        </w:tc>
        <w:tc>
          <w:tcPr>
            <w:tcW w:w="3000" w:type="dxa"/>
          </w:tcPr>
          <w:p>
            <w:pPr/>
            <w:r>
              <w:rPr/>
              <w:t xml:space="preserve">profesní etika a psychologie jednání s pacientem a jeho okolím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k14._.0009</w:t>
            </w:r>
          </w:p>
        </w:tc>
        <w:tc>
          <w:tcPr>
            <w:tcW w:w="3000" w:type="dxa"/>
          </w:tcPr>
          <w:p>
            <w:pPr/>
            <w:r>
              <w:rPr/>
              <w:t xml:space="preserve">medicínské právo, hygienické a jiné předpisy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k14._.0010</w:t>
            </w:r>
          </w:p>
        </w:tc>
        <w:tc>
          <w:tcPr>
            <w:tcW w:w="3000" w:type="dxa"/>
          </w:tcPr>
          <w:p>
            <w:pPr/>
            <w:r>
              <w:rPr/>
              <w:t xml:space="preserve">vykazování a úhrady zdravotních úkonů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k17._.0004</w:t>
            </w:r>
          </w:p>
        </w:tc>
        <w:tc>
          <w:tcPr>
            <w:tcW w:w="3000" w:type="dxa"/>
          </w:tcPr>
          <w:p>
            <w:pPr/>
            <w:r>
              <w:rPr/>
              <w:t xml:space="preserve">farmakologie se zaměřením na zubní lékařství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k14._.0014</w:t>
            </w:r>
          </w:p>
        </w:tc>
        <w:tc>
          <w:tcPr>
            <w:tcW w:w="3000" w:type="dxa"/>
          </w:tcPr>
          <w:p>
            <w:pPr/>
            <w:r>
              <w:rPr/>
              <w:t xml:space="preserve">znalosti v příslušném oboru specializačního vzdělávání zubních lékařů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8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5" w:name="_Toc15"/>
      <w:r>
        <w:t>Digitální kompetence</w:t>
      </w:r>
      <w:bookmarkEnd w:id="15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Prohlížení, vyhledávání a filtrování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5.3</w:t>
            </w:r>
          </w:p>
        </w:tc>
        <w:tc>
          <w:tcPr>
            <w:tcW w:w="5000" w:type="dxa"/>
          </w:tcPr>
          <w:p>
            <w:pPr/>
            <w:r>
              <w:rPr/>
              <w:t xml:space="preserve">Kreativní využívání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5.2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potřeb a výběr vhodných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5.1</w:t>
            </w:r>
          </w:p>
        </w:tc>
        <w:tc>
          <w:tcPr>
            <w:tcW w:w="5000" w:type="dxa"/>
          </w:tcPr>
          <w:p>
            <w:pPr/>
            <w:r>
              <w:rPr/>
              <w:t xml:space="preserve">Řešení technických problémů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životního prostředí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4.3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zdraví a duševní pohody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osobních dat a soukromí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zařízení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Autorská práva a licence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3.2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Integrace a přepracování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3.1</w:t>
            </w:r>
          </w:p>
        </w:tc>
        <w:tc>
          <w:tcPr>
            <w:tcW w:w="5000" w:type="dxa"/>
          </w:tcPr>
          <w:p>
            <w:pPr/>
            <w:r>
              <w:rPr/>
              <w:t xml:space="preserve">Tvorba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2.5</w:t>
            </w:r>
          </w:p>
        </w:tc>
        <w:tc>
          <w:tcPr>
            <w:tcW w:w="5000" w:type="dxa"/>
          </w:tcPr>
          <w:p>
            <w:pPr/>
            <w:r>
              <w:rPr/>
              <w:t xml:space="preserve">Netiketa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Spolupráce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Sdílení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Interakce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Správa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Hodnocení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5.4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nedostatků v digitálních kompetencích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https://nsp.cz/downloads/Priloha_c15_manualu.pdf</w:t>
      </w:r>
    </w:p>
    <w:p/>
    <w:p>
      <w:pPr>
        <w:pStyle w:val="Heading3"/>
      </w:pPr>
      <w:bookmarkStart w:id="16" w:name="_Toc16"/>
      <w:r>
        <w:t>Měkké kompetence</w:t>
      </w:r>
      <w:bookmarkEnd w:id="16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0-5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efektivní komunikaci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kooperaci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4.6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výkonnosti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4.5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samostatnosti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řešení problémů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celoživotnímu vzdělávání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zvládání stresu a zátěže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objevování a orientaci v informacích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https://nsp.cz/downloads/Priloha_c9_manualu.pdf</w:t>
      </w:r>
    </w:p>
    <w:p/>
    <w:p>
      <w:pPr>
        <w:pStyle w:val="Heading2"/>
      </w:pPr>
      <w:bookmarkStart w:id="17" w:name="_Toc17"/>
      <w:r>
        <w:t>Zdravotní podmínky</w:t>
      </w:r>
      <w:bookmarkEnd w:id="17"/>
    </w:p>
    <w:p>
      <w:pPr/>
      <w:r>
        <w:rPr>
          <w:b w:val="1"/>
          <w:bCs w:val="1"/>
        </w:rPr>
        <w:t xml:space="preserve">Poznámka ke zdravotním podmínkám</w:t>
      </w:r>
    </w:p>
    <w:p>
      <w:pPr/>
      <w:r>
        <w:rPr/>
        <w:t xml:space="preserve">Zdravotní způsobilost k výkonu povolání je upravena vyhláškou č. 271/2012 Sb., o zdravotní způsobilosti zdravotnického pracovníka a jiného odborného pracovníka.</w:t>
      </w:r>
    </w:p>
    <w:p>
      <w:pPr/>
      <w:r>
        <w:rPr>
          <w:sz w:val="16"/>
          <w:szCs w:val="16"/>
          <w:i w:val="1"/>
          <w:iCs w:val="1"/>
        </w:rPr>
        <w:t xml:space="preserve">Přesné posouzení zdravotního stavu s následným doporučením nebo nedoporučením výkonu této pozice je možné pouze po konzultaci s lékařem.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5">
    <w:nsid w:val="309C7D0A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120"/>
    </w:pPr>
    <w:rPr>
      <w:sz w:val="40"/>
      <w:szCs w:val="40"/>
      <w:b w:val="1"/>
      <w:bCs w:val="1"/>
    </w:rPr>
  </w:style>
  <w:style w:type="paragraph" w:styleId="Heading2">
    <w:link w:val="Heading2Char"/>
    <w:name w:val="heading 2"/>
    <w:basedOn w:val="Normal"/>
    <w:pPr>
      <w:spacing w:after="80"/>
    </w:pPr>
    <w:rPr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60"/>
    </w:pPr>
    <w:rPr>
      <w:sz w:val="24"/>
      <w:szCs w:val="24"/>
      <w:b w:val="1"/>
      <w:bCs w:val="1"/>
    </w:rPr>
  </w:style>
  <w:style w:type="paragraph" w:styleId="Heading4">
    <w:link w:val="Heading4Char"/>
    <w:name w:val="heading 4"/>
    <w:basedOn w:val="Normal"/>
    <w:pPr>
      <w:spacing w:after="6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FDV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NSP.CZ</dc:creator>
  <dc:title>Zubní lékař se specializovanou způsobilostí</dc:title>
  <dc:description>Zubní lékaře se specializovanou způsobilostí samostatně poskytuje v rozsahu zákona 372/2011 Sb., o zdravotních službách, preventivní, diagnostickou, léčebnou, posudkovou a dispenzární péči, vykonává vzdělávací, výzkumnou, vývojovou a revizní činnost v oblasti péče o zuby, ústa, čelisti a související tkáně a dále metodickou a koncepční činnost v oblasti zdravotnictví.</dc:description>
  <dc:subject/>
  <cp:keywords/>
  <cp:category>Povolání</cp:category>
  <cp:lastModifiedBy/>
  <dcterms:created xsi:type="dcterms:W3CDTF">2017-11-22T09:14:51+01:00</dcterms:created>
  <dcterms:modified xsi:type="dcterms:W3CDTF">2018-10-02T11:45:20+02:00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