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Tiskař textilií</w:t>
      </w:r>
      <w:bookmarkEnd w:id="1"/>
    </w:p>
    <w:p>
      <w:pPr/>
      <w:r>
        <w:rPr/>
        <w:t xml:space="preserve">Tiskař textilií obsluhuje stroje a zařízení, které vytváří jednobarevné nebo vícebarevné vzory na textiliích nanášením tiskacích barev na předem určená místa.</w:t>
      </w:r>
    </w:p>
    <w:p/>
    <w:tbl>
      <w:tblGrid>
        <w:gridCol w:w="3000" w:type="dxa"/>
        <w:gridCol w:w="6000" w:type="dxa"/>
      </w:tblGrid>
      <w:tblPr>
        <w:jc w:val="start"/>
        <w:tblW w:w="0" w:type="auto"/>
        <w:tblCellSpacing w:w="50" w:type="dxa"/>
        <w:tblLayout w:type="autofit"/>
        <w:bidiVisual w:val="0"/>
        <w:tblCellMar>
          <w:top w:w="80" w:type="dxa"/>
          <w:left w:w="80" w:type="dxa"/>
          <w:right w:w="80" w:type="dxa"/>
          <w:bottom w:w="80" w:type="dxa"/>
        </w:tblCellMar>
      </w:tblPr>
      <w:tr>
        <w:trPr/>
        <w:tc>
          <w:tcPr>
            <w:tcW w:w="3000" w:type="dxa"/>
          </w:tcPr>
          <w:p>
            <w:pPr/>
            <w:r>
              <w:rPr>
                <w:b w:val="1"/>
                <w:bCs w:val="1"/>
              </w:rPr>
              <w:t xml:space="preserve">Odborný směr:</w:t>
            </w:r>
          </w:p>
        </w:tc>
        <w:tc>
          <w:tcPr>
            <w:tcW w:w="6000" w:type="dxa"/>
          </w:tcPr>
          <w:p>
            <w:pPr/>
            <w:r>
              <w:rPr/>
              <w:t xml:space="preserve">Textilní a oděvní výroba</w:t>
            </w:r>
          </w:p>
        </w:tc>
      </w:tr>
      <w:tr>
        <w:trPr/>
        <w:tc>
          <w:tcPr/>
          <w:p>
            <w:pPr/>
            <w:r>
              <w:rPr>
                <w:b w:val="1"/>
                <w:bCs w:val="1"/>
              </w:rPr>
              <w:t xml:space="preserve">Odborný podsměr:</w:t>
            </w:r>
          </w:p>
        </w:tc>
        <w:tc>
          <w:tcPr/>
          <w:p>
            <w:pPr/>
            <w:r>
              <w:rPr/>
              <w:t xml:space="preserve">výroba textilií a textilních výrobků</w:t>
            </w:r>
          </w:p>
        </w:tc>
      </w:tr>
      <w:tr>
        <w:trPr/>
        <w:tc>
          <w:tcPr/>
          <w:p>
            <w:pPr/>
            <w:r>
              <w:rPr>
                <w:b w:val="1"/>
                <w:bCs w:val="1"/>
              </w:rPr>
              <w:t xml:space="preserve">Kvalifikační úroveň:</w:t>
            </w:r>
          </w:p>
        </w:tc>
        <w:tc>
          <w:tcPr/>
          <w:p>
            <w:pPr/>
            <w:r>
              <w:rPr/>
              <w:t xml:space="preserve">Střední vzdělání s výučním listem tříleté</w:t>
            </w:r>
          </w:p>
        </w:tc>
      </w:tr>
      <w:tr>
        <w:trPr/>
        <w:tc>
          <w:tcPr/>
          <w:p>
            <w:pPr/>
            <w:r>
              <w:rPr>
                <w:b w:val="1"/>
                <w:bCs w:val="1"/>
              </w:rPr>
              <w:t xml:space="preserve">Alternativní názvy:</w:t>
            </w:r>
          </w:p>
        </w:tc>
        <w:tc>
          <w:tcPr/>
          <w:p>
            <w:pPr/>
            <w:r>
              <w:rPr/>
              <w:t xml:space="preserve">Textile bleaching and dyeing machine operator, Converter, Tiskař podlahových textilií a jiných textilních útvarů, Obsluha tiskařských strojů, Tiskař tkanin a pletenin</w:t>
            </w:r>
          </w:p>
        </w:tc>
      </w:tr>
      <w:tr>
        <w:trPr/>
        <w:tc>
          <w:tcPr/>
          <w:p>
            <w:pPr/>
            <w:r>
              <w:rPr>
                <w:b w:val="1"/>
                <w:bCs w:val="1"/>
              </w:rPr>
              <w:t xml:space="preserve">Nadřízené povolání:</w:t>
            </w:r>
          </w:p>
        </w:tc>
        <w:tc>
          <w:tcPr/>
          <w:p>
            <w:pPr/>
            <w:r>
              <w:rPr/>
              <w:t xml:space="preserve">Výrobce textilií</w:t>
            </w:r>
          </w:p>
        </w:tc>
      </w:tr>
      <w:tr>
        <w:trPr/>
        <w:tc>
          <w:tcPr/>
          <w:p>
            <w:pPr/>
            <w:r>
              <w:rPr>
                <w:b w:val="1"/>
                <w:bCs w:val="1"/>
              </w:rPr>
              <w:t xml:space="preserve">Příbuzné specializace:</w:t>
            </w:r>
          </w:p>
        </w:tc>
        <w:tc>
          <w:tcPr/>
          <w:p>
            <w:pPr/>
            <w:r>
              <w:rPr/>
              <w:t xml:space="preserve">Přadlák, Textilní mistr, Úpravář textilií, Krajkář, Tiskař textilií, Pracovník jakosti v textilní výrobě, Plsťař, Síťař, Pletař, Výrobce netkaných textilií, Tkadlec, Provazník, Prýmkař, Barvíř textilií, Výrobce netkaných textilií</w:t>
            </w:r>
          </w:p>
        </w:tc>
      </w:tr>
      <w:tr>
        <w:trPr/>
        <w:tc>
          <w:tcPr/>
          <w:p>
            <w:pPr/>
            <w:r>
              <w:rPr>
                <w:b w:val="1"/>
                <w:bCs w:val="1"/>
              </w:rPr>
              <w:t xml:space="preserve">Regulovaná jednotka práce:</w:t>
            </w:r>
          </w:p>
        </w:tc>
        <w:tc>
          <w:tcPr/>
          <w:p>
            <w:pPr/>
            <w:r>
              <w:rPr/>
              <w:t xml:space="preserve">ne</w:t>
            </w:r>
          </w:p>
        </w:tc>
      </w:tr>
    </w:tbl>
    <w:p/>
    <w:p>
      <w:pPr>
        <w:pStyle w:val="Heading2"/>
      </w:pPr>
      <w:bookmarkStart w:id="2" w:name="_Toc2"/>
      <w:r>
        <w:t>Pracovní činnosti</w:t>
      </w:r>
      <w:bookmarkEnd w:id="2"/>
    </w:p>
    <w:p>
      <w:pPr>
        <w:numPr>
          <w:ilvl w:val="0"/>
          <w:numId w:val="5"/>
        </w:numPr>
      </w:pPr>
      <w:r>
        <w:rPr/>
        <w:t xml:space="preserve">Spolupráce při přípravě a seřízení strojů a zařízení při změně partie.</w:t>
      </w:r>
    </w:p>
    <w:p>
      <w:pPr>
        <w:numPr>
          <w:ilvl w:val="0"/>
          <w:numId w:val="5"/>
        </w:numPr>
      </w:pPr>
      <w:r>
        <w:rPr/>
        <w:t xml:space="preserve">Evidence technických dat o průběhu práce a výsledcích, včetně kvality výroby.</w:t>
      </w:r>
    </w:p>
    <w:p>
      <w:pPr>
        <w:numPr>
          <w:ilvl w:val="0"/>
          <w:numId w:val="5"/>
        </w:numPr>
      </w:pPr>
      <w:r>
        <w:rPr/>
        <w:t xml:space="preserve">Obsluhaí tiskacích strojů, linek a zařízení.</w:t>
      </w:r>
    </w:p>
    <w:p>
      <w:pPr>
        <w:numPr>
          <w:ilvl w:val="0"/>
          <w:numId w:val="5"/>
        </w:numPr>
      </w:pPr>
      <w:r>
        <w:rPr/>
        <w:t xml:space="preserve">Zásobování strojů, linek a zařízení materiálem, odběr a odsun potisknuté textilie.</w:t>
      </w:r>
    </w:p>
    <w:p>
      <w:pPr>
        <w:numPr>
          <w:ilvl w:val="0"/>
          <w:numId w:val="5"/>
        </w:numPr>
      </w:pPr>
      <w:r>
        <w:rPr/>
        <w:t xml:space="preserve">Příprava tiskacích barev, zahušťovadel a dalších pomocných chemikálií podle předepsaných receptur.</w:t>
      </w:r>
    </w:p>
    <w:p>
      <w:pPr>
        <w:numPr>
          <w:ilvl w:val="0"/>
          <w:numId w:val="5"/>
        </w:numPr>
      </w:pPr>
      <w:r>
        <w:rPr/>
        <w:t xml:space="preserve">Uspořádání pracoviště a příprava příslušných materiálů.</w:t>
      </w:r>
    </w:p>
    <w:p>
      <w:pPr>
        <w:numPr>
          <w:ilvl w:val="0"/>
          <w:numId w:val="5"/>
        </w:numPr>
      </w:pPr>
      <w:r>
        <w:rPr/>
        <w:t xml:space="preserve">Obsluha strojů, linek a zařízení k potiskování textilií, provádění prací spojených s potiskováním.</w:t>
      </w:r>
    </w:p>
    <w:p>
      <w:pPr>
        <w:numPr>
          <w:ilvl w:val="0"/>
          <w:numId w:val="5"/>
        </w:numPr>
      </w:pPr>
      <w:r>
        <w:rPr/>
        <w:t xml:space="preserve">Kontrola chodu strojů, zařízení a příslušenství, včetně evidence dat o seřízení a výrobě.</w:t>
      </w:r>
    </w:p>
    <w:p>
      <w:pPr>
        <w:numPr>
          <w:ilvl w:val="0"/>
          <w:numId w:val="5"/>
        </w:numPr>
      </w:pPr>
      <w:r>
        <w:rPr/>
        <w:t xml:space="preserve">Kontrola zpracovávaného materiálu na vstupu i výstupu ze strojů, přístrojů a zařízení.</w:t>
      </w:r>
    </w:p>
    <w:p>
      <w:pPr>
        <w:numPr>
          <w:ilvl w:val="0"/>
          <w:numId w:val="5"/>
        </w:numPr>
      </w:pPr>
      <w:r>
        <w:rPr/>
        <w:t xml:space="preserve">Ošetřování a běžná údržba zařízení, strojů, přístrojů a příslušenství.</w:t>
      </w:r>
    </w:p>
    <w:p>
      <w:pPr>
        <w:numPr>
          <w:ilvl w:val="0"/>
          <w:numId w:val="5"/>
        </w:numPr>
      </w:pPr>
      <w:r>
        <w:rPr/>
        <w:t xml:space="preserve">Kontrola kvality potisknutých textilií pomocí vhodných přístrojů a zařízení.</w:t>
      </w:r>
    </w:p>
    <w:p>
      <w:pPr>
        <w:numPr>
          <w:ilvl w:val="0"/>
          <w:numId w:val="5"/>
        </w:numPr>
      </w:pPr>
      <w:r>
        <w:rPr/>
        <w:t xml:space="preserve">Odstraňování jednoduchých poruch během procesů úprav a zajišťování odstranění větších poruch na strojích a poruch způsobených materiálem.</w:t>
      </w:r>
    </w:p>
    <w:p/>
    <w:p>
      <w:pPr>
        <w:pStyle w:val="Heading2"/>
      </w:pPr>
      <w:bookmarkStart w:id="3" w:name="_Toc3"/>
      <w:r>
        <w:t>CZ-ISCO</w:t>
      </w:r>
      <w:bookmarkEnd w:id="3"/>
    </w:p>
    <w:p>
      <w:pPr>
        <w:numPr>
          <w:ilvl w:val="0"/>
          <w:numId w:val="5"/>
        </w:numPr>
      </w:pPr>
      <w:r>
        <w:rPr/>
        <w:t xml:space="preserve">Tiskaři</w:t>
      </w:r>
    </w:p>
    <w:p>
      <w:pPr>
        <w:numPr>
          <w:ilvl w:val="0"/>
          <w:numId w:val="5"/>
        </w:numPr>
      </w:pPr>
      <w:r>
        <w:rPr/>
        <w:t xml:space="preserve">Tiskaři</w:t>
      </w:r>
    </w:p>
    <w:p/>
    <w:p>
      <w:pPr>
        <w:pStyle w:val="Heading3"/>
      </w:pPr>
      <w:bookmarkStart w:id="4" w:name="_Toc4"/>
      <w:r>
        <w:t>Hrubé měsíční mzdy podle krajů v roce 2025</w:t>
      </w:r>
      <w:bookmarkEnd w:id="4"/>
    </w:p>
    <w:p>
      <w:pPr>
        <w:pStyle w:val="Heading4"/>
      </w:pPr>
      <w:bookmarkStart w:id="5" w:name="_Toc5"/>
      <w:r>
        <w:t>Tiskaři (CZ-ISCO 7322)</w:t>
      </w:r>
      <w:bookmarkEnd w:id="5"/>
    </w:p>
    <w:tbl>
      <w:tblGrid>
        <w:gridCol w:w="2400" w:type="dxa"/>
        <w:gridCol w:w="1100" w:type="dxa"/>
        <w:gridCol w:w="1100" w:type="dxa"/>
        <w:gridCol w:w="1100" w:type="dxa"/>
        <w:gridCol w:w="1100" w:type="dxa"/>
        <w:gridCol w:w="1100" w:type="dxa"/>
        <w:gridCol w:w="1100" w:type="dxa"/>
      </w:tblGrid>
      <w:tblPr>
        <w:jc w:val="start"/>
        <w:tblW w:w="0" w:type="auto"/>
        <w:tblCellSpacing w:w="50" w:type="dxa"/>
        <w:tblLayout w:type="autofit"/>
        <w:bidiVisual w:val="0"/>
        <w:tblCellMar>
          <w:top w:w="80" w:type="dxa"/>
          <w:left w:w="80" w:type="dxa"/>
          <w:right w:w="80" w:type="dxa"/>
          <w:bottom w:w="80" w:type="dxa"/>
        </w:tblCellMar>
      </w:tblPr>
      <w:tr>
        <w:trPr/>
        <w:tc>
          <w:tcPr>
            <w:tcW w:w="2400" w:type="dxa"/>
          </w:tcPr>
          <w:p/>
        </w:tc>
        <w:tc>
          <w:tcPr>
            <w:tcW w:w="3300" w:type="dxa"/>
            <w:gridSpan w:val="3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Mzdová sféra</w:t>
            </w:r>
          </w:p>
        </w:tc>
        <w:tc>
          <w:tcPr>
            <w:tcW w:w="3300" w:type="dxa"/>
            <w:gridSpan w:val="3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Platová sféra</w:t>
            </w:r>
          </w:p>
        </w:tc>
      </w:tr>
      <w:tr>
        <w:trPr/>
        <w:tc>
          <w:tcPr>
            <w:tcW w:w="2400" w:type="dxa"/>
          </w:tcPr>
          <w:p>
            <w:pPr/>
            <w:r>
              <w:rPr>
                <w:b w:val="1"/>
                <w:bCs w:val="1"/>
              </w:rPr>
              <w:t xml:space="preserve">Kraj</w:t>
            </w:r>
          </w:p>
        </w:tc>
        <w:tc>
          <w:tcPr>
            <w:tcW w:w="1100" w:type="dxa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Od</w:t>
            </w:r>
          </w:p>
        </w:tc>
        <w:tc>
          <w:tcPr>
            <w:tcW w:w="1100" w:type="dxa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Medián</w:t>
            </w:r>
          </w:p>
        </w:tc>
        <w:tc>
          <w:tcPr>
            <w:tcW w:w="1100" w:type="dxa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Do</w:t>
            </w:r>
          </w:p>
        </w:tc>
        <w:tc>
          <w:tcPr>
            <w:tcW w:w="1100" w:type="dxa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Od</w:t>
            </w:r>
          </w:p>
        </w:tc>
        <w:tc>
          <w:tcPr>
            <w:tcW w:w="1100" w:type="dxa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Medián</w:t>
            </w:r>
          </w:p>
        </w:tc>
        <w:tc>
          <w:tcPr>
            <w:tcW w:w="1100" w:type="dxa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Do</w:t>
            </w:r>
          </w:p>
        </w:tc>
      </w:tr>
      <w:tr>
        <w:trPr/>
        <w:tc>
          <w:tcPr>
            <w:tcW w:w="2000" w:type="dxa"/>
          </w:tcPr>
          <w:p>
            <w:pPr/>
            <w:r>
              <w:rPr/>
              <w:t xml:space="preserve">Jihočeský kraj</w:t>
            </w:r>
          </w:p>
        </w:tc>
        <w:tc>
          <w:tcPr>
            <w:tcW w:w="1000" w:type="dxa"/>
          </w:tcPr>
          <w:p>
            <w:pPr>
              <w:jc w:val="center"/>
            </w:pPr>
            <w:r>
              <w:rPr/>
              <w:t xml:space="preserve">33 928 Kč</w:t>
            </w:r>
          </w:p>
        </w:tc>
        <w:tc>
          <w:tcPr>
            <w:tcW w:w="1000" w:type="dxa"/>
          </w:tcPr>
          <w:p>
            <w:pPr>
              <w:jc w:val="center"/>
            </w:pPr>
            <w:r>
              <w:rPr/>
              <w:t xml:space="preserve">50 662 Kč</w:t>
            </w:r>
          </w:p>
        </w:tc>
        <w:tc>
          <w:tcPr>
            <w:tcW w:w="1000" w:type="dxa"/>
          </w:tcPr>
          <w:p>
            <w:pPr>
              <w:jc w:val="center"/>
            </w:pPr>
            <w:r>
              <w:rPr/>
              <w:t xml:space="preserve">82 437 Kč</w:t>
            </w:r>
          </w:p>
        </w:tc>
        <w:tc>
          <w:tcPr>
            <w:tcW w:w="1000" w:type="dxa"/>
          </w:tcPr>
          <w:p/>
        </w:tc>
        <w:tc>
          <w:tcPr>
            <w:tcW w:w="1000" w:type="dxa"/>
          </w:tcPr>
          <w:p/>
        </w:tc>
        <w:tc>
          <w:tcPr>
            <w:tcW w:w="1000" w:type="dxa"/>
          </w:tcPr>
          <w:p/>
        </w:tc>
      </w:tr>
    </w:tbl>
    <w:p/>
    <w:p>
      <w:pPr>
        <w:pStyle w:val="Heading3"/>
      </w:pPr>
      <w:bookmarkStart w:id="6" w:name="_Toc6"/>
      <w:r>
        <w:t>Hrubé měsíční mzdy v roce 2025 celkem</w:t>
      </w:r>
      <w:bookmarkEnd w:id="6"/>
    </w:p>
    <w:tbl>
      <w:tblGrid>
        <w:gridCol w:w="1000" w:type="dxa"/>
        <w:gridCol w:w="2000" w:type="dxa"/>
        <w:gridCol w:w="3000" w:type="dxa"/>
        <w:gridCol w:w="3000" w:type="dxa"/>
      </w:tblGrid>
      <w:tblPr>
        <w:jc w:val="start"/>
        <w:tblW w:w="0" w:type="auto"/>
        <w:tblCellSpacing w:w="50" w:type="dxa"/>
        <w:tblLayout w:type="autofit"/>
        <w:bidiVisual w:val="0"/>
        <w:tblCellMar>
          <w:top w:w="80" w:type="dxa"/>
          <w:left w:w="80" w:type="dxa"/>
          <w:right w:w="80" w:type="dxa"/>
          <w:bottom w:w="80" w:type="dxa"/>
        </w:tblCellMar>
      </w:tblPr>
      <w:tr>
        <w:trPr/>
        <w:tc>
          <w:tcPr>
            <w:tcW w:w="3000" w:type="dxa"/>
            <w:gridSpan w:val="2"/>
          </w:tcPr>
          <w:p/>
        </w:tc>
        <w:tc>
          <w:tcPr>
            <w:tcW w:w="6000" w:type="dxa"/>
            <w:gridSpan w:val="2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Medián za ČR celkem</w:t>
            </w:r>
          </w:p>
        </w:tc>
      </w:tr>
      <w:tr>
        <w:trPr/>
        <w:tc>
          <w:tcPr>
            <w:tcW w:w="1000" w:type="dxa"/>
          </w:tcPr>
          <w:p>
            <w:pPr/>
            <w:r>
              <w:rPr>
                <w:b w:val="1"/>
                <w:bCs w:val="1"/>
              </w:rPr>
              <w:t xml:space="preserve">CZ-ISCO</w:t>
            </w:r>
          </w:p>
        </w:tc>
        <w:tc>
          <w:tcPr>
            <w:tcW w:w="2000" w:type="dxa"/>
          </w:tcPr>
          <w:p/>
        </w:tc>
        <w:tc>
          <w:tcPr>
            <w:tcW w:w="3000" w:type="dxa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Mzdová sféra</w:t>
            </w:r>
          </w:p>
        </w:tc>
        <w:tc>
          <w:tcPr>
            <w:tcW w:w="3000" w:type="dxa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Platová sféra</w:t>
            </w:r>
          </w:p>
        </w:tc>
      </w:tr>
      <w:tr>
        <w:trPr/>
        <w:tc>
          <w:tcPr>
            <w:tcW w:w="1000" w:type="dxa"/>
          </w:tcPr>
          <w:p>
            <w:pPr>
              <w:jc w:val="center"/>
            </w:pPr>
            <w:r>
              <w:rPr/>
              <w:t xml:space="preserve">7322</w:t>
            </w:r>
          </w:p>
        </w:tc>
        <w:tc>
          <w:tcPr>
            <w:tcW w:w="2000" w:type="dxa"/>
          </w:tcPr>
          <w:p>
            <w:pPr/>
            <w:r>
              <w:rPr/>
              <w:t xml:space="preserve">Tiskaři</w:t>
            </w:r>
          </w:p>
        </w:tc>
        <w:tc>
          <w:tcPr>
            <w:tcW w:w="1000" w:type="dxa"/>
          </w:tcPr>
          <w:p>
            <w:pPr>
              <w:jc w:val="center"/>
            </w:pPr>
            <w:r>
              <w:rPr/>
              <w:t xml:space="preserve">-</w:t>
            </w:r>
          </w:p>
        </w:tc>
        <w:tc>
          <w:tcPr>
            <w:tcW w:w="1000" w:type="dxa"/>
          </w:tcPr>
          <w:p>
            <w:pPr>
              <w:jc w:val="center"/>
            </w:pPr>
            <w:r>
              <w:rPr/>
              <w:t xml:space="preserve">33 864 Kč</w:t>
            </w:r>
          </w:p>
        </w:tc>
      </w:tr>
    </w:tbl>
    <w:p/>
    <w:p>
      <w:pPr>
        <w:pStyle w:val="Heading2"/>
      </w:pPr>
      <w:bookmarkStart w:id="7" w:name="_Toc7"/>
      <w:r>
        <w:t>ESCO</w:t>
      </w:r>
      <w:bookmarkEnd w:id="7"/>
    </w:p>
    <w:tbl>
      <w:tblGrid>
        <w:gridCol w:w="3000" w:type="dxa"/>
        <w:gridCol w:w="3000" w:type="dxa"/>
        <w:gridCol w:w="3000" w:type="dxa"/>
      </w:tblGrid>
      <w:tblPr>
        <w:jc w:val="start"/>
        <w:tblW w:w="0" w:type="auto"/>
        <w:tblCellSpacing w:w="50" w:type="dxa"/>
        <w:tblLayout w:type="autofit"/>
        <w:bidiVisual w:val="0"/>
        <w:tblCellMar>
          <w:top w:w="80" w:type="dxa"/>
          <w:left w:w="80" w:type="dxa"/>
          <w:right w:w="80" w:type="dxa"/>
          <w:bottom w:w="80" w:type="dxa"/>
        </w:tblCellMar>
      </w:tblPr>
      <w:tr>
        <w:trPr/>
        <w:tc>
          <w:tcPr>
            <w:tcW w:w="3000" w:type="dxa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Kód podskupiny</w:t>
            </w:r>
          </w:p>
        </w:tc>
        <w:tc>
          <w:tcPr>
            <w:tcW w:w="3000" w:type="dxa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Název podskupiny v ESCO</w:t>
            </w:r>
          </w:p>
        </w:tc>
        <w:tc>
          <w:tcPr>
            <w:tcW w:w="3000" w:type="dxa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URL - podskupiny v ESCO</w:t>
            </w:r>
          </w:p>
        </w:tc>
      </w:tr>
      <w:tr>
        <w:trPr/>
        <w:tc>
          <w:tcPr>
            <w:tcW w:w="3000" w:type="dxa"/>
          </w:tcPr>
          <w:p>
            <w:pPr/>
            <w:r>
              <w:rPr/>
              <w:t xml:space="preserve">7322</w:t>
            </w:r>
          </w:p>
        </w:tc>
        <w:tc>
          <w:tcPr>
            <w:tcW w:w="3000" w:type="dxa"/>
          </w:tcPr>
          <w:p>
            <w:pPr/>
            <w:r>
              <w:rPr/>
              <w:t xml:space="preserve">Tiskaři</w:t>
            </w:r>
          </w:p>
        </w:tc>
        <w:tc>
          <w:tcPr>
            <w:tcW w:w="3000" w:type="dxa"/>
          </w:tcPr>
          <w:p>
            <w:pPr/>
            <w:r>
              <w:rPr/>
              <w:t xml:space="preserve">http://data.europa.eu/esco/isco/C7322</w:t>
            </w:r>
          </w:p>
        </w:tc>
      </w:tr>
    </w:tbl>
    <w:p/>
    <w:p/>
    <w:p/>
    <w:p>
      <w:pPr>
        <w:pStyle w:val="Heading2"/>
      </w:pPr>
      <w:bookmarkStart w:id="8" w:name="_Toc8"/>
      <w:r>
        <w:t>Pracovní podmínky</w:t>
      </w:r>
      <w:bookmarkEnd w:id="8"/>
    </w:p>
    <w:p>
      <w:pPr/>
      <w:r>
        <w:rPr/>
        <w:t xml:space="preserve">Rizikové faktory pracovních podmínek a vyskytující se druhy zátěže upravuje nařízení vlády č. 361/2007 Sb., kterým se stanoví podmínky ochrany zdraví při práci, zákon č. 258/2000 Sb., o ochraně veřejného zdraví a zákon č. 262/2006 Sb., zákoník práce. Vždy vyplývají z pracovních podmínek, které se vztahují ke konkrétnímu zaměstnavateli, tudíž se mohou u různých zaměstnavatelů lišit.</w:t>
      </w:r>
    </w:p>
    <w:p/>
    <w:p>
      <w:pPr/>
      <w:r>
        <w:rPr/>
        <w:t xml:space="preserve">Určení míry výskytu faktorů, které mohou ovlivnit zdraví při práci vychází z druhu práce vykonávané na pracovišti. Faktory se zařazují do čtyř kategorií dle míry zdravotního rizika a jeho vlivu na zdraví. O zařazení prací do třetí nebo čtvrté kategorie rozhoduje příslušný orgán ochrany veřejného zdraví.</w:t>
      </w:r>
    </w:p>
    <w:p/>
    <w:p>
      <w:pPr>
        <w:numPr>
          <w:ilvl w:val="0"/>
          <w:numId w:val="5"/>
        </w:numPr>
      </w:pPr>
      <w:r>
        <w:rPr>
          <w:sz w:val="16"/>
          <w:szCs w:val="16"/>
          <w:i w:val="1"/>
          <w:iCs w:val="1"/>
        </w:rPr>
        <w:t xml:space="preserve">1. Stupeň zátěže (minimální zdravotní riziko) - Faktor se při výkonu práce nevyskytuje nebo je zátěž faktorem minimální, vliv faktoru je ze zdravotního hlediska nevýznamný.</w:t>
      </w:r>
    </w:p>
    <w:p>
      <w:pPr>
        <w:numPr>
          <w:ilvl w:val="0"/>
          <w:numId w:val="5"/>
        </w:numPr>
      </w:pPr>
      <w:r>
        <w:rPr>
          <w:sz w:val="16"/>
          <w:szCs w:val="16"/>
          <w:i w:val="1"/>
          <w:iCs w:val="1"/>
        </w:rPr>
        <w:t xml:space="preserve">2. Stupeň zátěže (únosná míra zdravotního rizika) - Ze zdravotního hlediska je míra zátěže faktorem únosná, nepřekračuje limity stanovené předpisy, vliv faktoru je akceptovatelný pro zdravého člověka.</w:t>
      </w:r>
    </w:p>
    <w:p>
      <w:pPr>
        <w:numPr>
          <w:ilvl w:val="0"/>
          <w:numId w:val="5"/>
        </w:numPr>
      </w:pPr>
      <w:r>
        <w:rPr>
          <w:sz w:val="16"/>
          <w:szCs w:val="16"/>
          <w:i w:val="1"/>
          <w:iCs w:val="1"/>
        </w:rPr>
        <w:t xml:space="preserve">3. Stupeň zátěže (významná míra zdravotního rizika) - Úroveň zátěže překračuje stanovené limitní hodnoty expozice (zátěže), na pracovištích je nutná realizace náhradních technických a organizačních opatření, nelze vyloučit negativní vliv na zdraví pracovníků.</w:t>
      </w:r>
    </w:p>
    <w:p>
      <w:pPr>
        <w:numPr>
          <w:ilvl w:val="0"/>
          <w:numId w:val="5"/>
        </w:numPr>
      </w:pPr>
      <w:r>
        <w:rPr>
          <w:sz w:val="16"/>
          <w:szCs w:val="16"/>
          <w:i w:val="1"/>
          <w:iCs w:val="1"/>
        </w:rPr>
        <w:t xml:space="preserve">4. Stupeň zátěže (vysoká míra zdravotního rizika) - Úroveň zátěže vysoce překračuje stanovené limitní hodnoty expozice, na pracovištích musí být dodržován soubor preventivních opatření, častěji dochází k poškození zdraví.</w:t>
      </w:r>
    </w:p>
    <w:p/>
    <w:p/>
    <w:p>
      <w:pPr>
        <w:pStyle w:val="Heading2"/>
      </w:pPr>
      <w:bookmarkStart w:id="9" w:name="_Toc9"/>
      <w:r>
        <w:t>Kvalifikace k výkonu povolání</w:t>
      </w:r>
      <w:bookmarkEnd w:id="9"/>
    </w:p>
    <w:p>
      <w:pPr>
        <w:pStyle w:val="Heading3"/>
      </w:pPr>
      <w:bookmarkStart w:id="10" w:name="_Toc10"/>
      <w:r>
        <w:t>Školní vzdělání</w:t>
      </w:r>
      <w:bookmarkEnd w:id="10"/>
    </w:p>
    <w:p/>
    <w:p>
      <w:pPr>
        <w:pStyle w:val="Heading4"/>
      </w:pPr>
      <w:bookmarkStart w:id="11" w:name="_Toc11"/>
      <w:r>
        <w:t>Nejvhodnější školní přípravu poskytují obory:</w:t>
      </w:r>
      <w:bookmarkEnd w:id="11"/>
    </w:p>
    <w:tbl>
      <w:tblGrid>
        <w:gridCol w:w="2000" w:type="dxa"/>
        <w:gridCol w:w="5000" w:type="dxa"/>
        <w:gridCol w:w="2000" w:type="dxa"/>
      </w:tblGrid>
      <w:tblPr>
        <w:jc w:val="start"/>
        <w:tblW w:w="0" w:type="auto"/>
        <w:tblCellSpacing w:w="50" w:type="dxa"/>
        <w:tblLayout w:type="autofit"/>
        <w:bidiVisual w:val="0"/>
        <w:tblCellMar>
          <w:top w:w="80" w:type="dxa"/>
          <w:left w:w="80" w:type="dxa"/>
          <w:right w:w="80" w:type="dxa"/>
          <w:bottom w:w="80" w:type="dxa"/>
        </w:tblCellMar>
      </w:tblPr>
      <w:tr>
        <w:trPr/>
        <w:tc>
          <w:tcPr>
            <w:tcW w:w="2000" w:type="dxa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Typ</w:t>
            </w:r>
          </w:p>
        </w:tc>
        <w:tc>
          <w:tcPr>
            <w:tcW w:w="5000" w:type="dxa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Název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Kód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KKOV</w:t>
            </w:r>
          </w:p>
        </w:tc>
        <w:tc>
          <w:tcPr>
            <w:tcW w:w="5000" w:type="dxa"/>
          </w:tcPr>
          <w:p>
            <w:pPr/>
            <w:r>
              <w:rPr/>
              <w:t xml:space="preserve">Střední vzdělání s výučním listem v oboru textilní chemik, zušlechťovací práce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3156H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RVP</w:t>
            </w:r>
          </w:p>
        </w:tc>
        <w:tc>
          <w:tcPr>
            <w:tcW w:w="5000" w:type="dxa"/>
          </w:tcPr>
          <w:p>
            <w:pPr/>
            <w:r>
              <w:rPr/>
              <w:t xml:space="preserve">Výrobce textilií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31-57-H/01</w:t>
            </w:r>
          </w:p>
        </w:tc>
      </w:tr>
    </w:tbl>
    <w:p/>
    <w:p>
      <w:pPr>
        <w:pStyle w:val="Heading4"/>
      </w:pPr>
      <w:bookmarkStart w:id="12" w:name="_Toc12"/>
      <w:r>
        <w:t>Vhodnou školní přípravu poskytují také obory:</w:t>
      </w:r>
      <w:bookmarkEnd w:id="12"/>
    </w:p>
    <w:tbl>
      <w:tblGrid>
        <w:gridCol w:w="2000" w:type="dxa"/>
        <w:gridCol w:w="5000" w:type="dxa"/>
        <w:gridCol w:w="2000" w:type="dxa"/>
      </w:tblGrid>
      <w:tblPr>
        <w:jc w:val="start"/>
        <w:tblW w:w="0" w:type="auto"/>
        <w:tblCellSpacing w:w="50" w:type="dxa"/>
        <w:tblLayout w:type="autofit"/>
        <w:bidiVisual w:val="0"/>
        <w:tblCellMar>
          <w:top w:w="80" w:type="dxa"/>
          <w:left w:w="80" w:type="dxa"/>
          <w:right w:w="80" w:type="dxa"/>
          <w:bottom w:w="80" w:type="dxa"/>
        </w:tblCellMar>
      </w:tblPr>
      <w:tr>
        <w:trPr/>
        <w:tc>
          <w:tcPr>
            <w:tcW w:w="2000" w:type="dxa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Typ</w:t>
            </w:r>
          </w:p>
        </w:tc>
        <w:tc>
          <w:tcPr>
            <w:tcW w:w="5000" w:type="dxa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Název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Kód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KKOV</w:t>
            </w:r>
          </w:p>
        </w:tc>
        <w:tc>
          <w:tcPr>
            <w:tcW w:w="5000" w:type="dxa"/>
          </w:tcPr>
          <w:p>
            <w:pPr/>
            <w:r>
              <w:rPr/>
              <w:t xml:space="preserve">Střední vzdělání s výučním listem v oboru výrobce textilií, textilní výroba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3157H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KKOV</w:t>
            </w:r>
          </w:p>
        </w:tc>
        <w:tc>
          <w:tcPr>
            <w:tcW w:w="5000" w:type="dxa"/>
          </w:tcPr>
          <w:p>
            <w:pPr/>
            <w:r>
              <w:rPr/>
              <w:t xml:space="preserve">Střední vzdělání s výučním listem v oboru výrobce textilií, textilní výroba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3157E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KKOV</w:t>
            </w:r>
          </w:p>
        </w:tc>
        <w:tc>
          <w:tcPr>
            <w:tcW w:w="5000" w:type="dxa"/>
          </w:tcPr>
          <w:p>
            <w:pPr/>
            <w:r>
              <w:rPr/>
              <w:t xml:space="preserve">Střední vzdělání s výučním listem v oboru chemik, práce v chemické výrobě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2852H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KKOV</w:t>
            </w:r>
          </w:p>
        </w:tc>
        <w:tc>
          <w:tcPr>
            <w:tcW w:w="5000" w:type="dxa"/>
          </w:tcPr>
          <w:p>
            <w:pPr/>
            <w:r>
              <w:rPr/>
              <w:t xml:space="preserve">Střední vzdělání s výučním listem v oboru tiskař na polygrafických strojích, tiskařské práce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3452H</w:t>
            </w:r>
          </w:p>
        </w:tc>
      </w:tr>
    </w:tbl>
    <w:p/>
    <w:p>
      <w:pPr>
        <w:pStyle w:val="Heading3"/>
      </w:pPr>
      <w:bookmarkStart w:id="13" w:name="_Toc13"/>
      <w:r>
        <w:t>Další vzdělání</w:t>
      </w:r>
      <w:bookmarkEnd w:id="13"/>
    </w:p>
    <w:p>
      <w:pPr>
        <w:pStyle w:val="Heading4"/>
      </w:pPr>
      <w:bookmarkStart w:id="14" w:name="_Toc14"/>
      <w:r>
        <w:t>Profesní kvalifikace</w:t>
      </w:r>
      <w:bookmarkEnd w:id="14"/>
    </w:p>
    <w:p>
      <w:pPr>
        <w:numPr>
          <w:ilvl w:val="0"/>
          <w:numId w:val="5"/>
        </w:numPr>
      </w:pPr>
      <w:r>
        <w:rPr/>
        <w:t xml:space="preserve">Tiskař/tiskařka textilií (31-039-H)</w:t>
      </w:r>
    </w:p>
    <w:p>
      <w:pPr>
        <w:numPr>
          <w:ilvl w:val="0"/>
          <w:numId w:val="5"/>
        </w:numPr>
      </w:pPr>
      <w:r>
        <w:rPr/>
        <w:t xml:space="preserve">Tiskař/tiskařka na strojích pro digitální potisk textilií (31-058-H)</w:t>
      </w:r>
    </w:p>
    <w:p/>
    <w:p/>
    <w:p>
      <w:pPr>
        <w:pStyle w:val="Heading2"/>
      </w:pPr>
      <w:bookmarkStart w:id="15" w:name="_Toc15"/>
      <w:r>
        <w:t>Kompetenční požadavky</w:t>
      </w:r>
      <w:bookmarkEnd w:id="15"/>
    </w:p>
    <w:p>
      <w:pPr>
        <w:pStyle w:val="Heading3"/>
      </w:pPr>
      <w:bookmarkStart w:id="16" w:name="_Toc16"/>
      <w:r>
        <w:t>Odborné dovednosti</w:t>
      </w:r>
      <w:bookmarkEnd w:id="16"/>
    </w:p>
    <w:tbl>
      <w:tblGrid>
        <w:gridCol w:w="2000" w:type="dxa"/>
        <w:gridCol w:w="3000" w:type="dxa"/>
        <w:gridCol w:w="2000" w:type="dxa"/>
        <w:gridCol w:w="2000" w:type="dxa"/>
      </w:tblGrid>
      <w:tblPr>
        <w:jc w:val="start"/>
        <w:tblW w:w="0" w:type="auto"/>
        <w:tblCellSpacing w:w="50" w:type="dxa"/>
        <w:tblLayout w:type="autofit"/>
        <w:bidiVisual w:val="0"/>
        <w:tblCellMar>
          <w:top w:w="80" w:type="dxa"/>
          <w:left w:w="80" w:type="dxa"/>
          <w:right w:w="80" w:type="dxa"/>
          <w:bottom w:w="80" w:type="dxa"/>
        </w:tblCellMar>
      </w:tblPr>
      <w:tr>
        <w:trPr/>
        <w:tc>
          <w:tcPr>
            <w:tcW w:w="2000" w:type="dxa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Kód</w:t>
            </w:r>
          </w:p>
        </w:tc>
        <w:tc>
          <w:tcPr>
            <w:tcW w:w="3000" w:type="dxa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Název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Úroveň 1-8</w:t>
            </w:r>
          </w:p>
        </w:tc>
        <w:tc>
          <w:tcPr>
            <w:tcW w:w="2000" w:type="dxa"/>
          </w:tcPr>
          <w:p>
            <w:pPr/>
            <w:r>
              <w:rPr>
                <w:b w:val="1"/>
                <w:bCs w:val="1"/>
              </w:rPr>
              <w:t xml:space="preserve">Vhodnost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e21.B.1087</w:t>
            </w:r>
          </w:p>
        </w:tc>
        <w:tc>
          <w:tcPr>
            <w:tcW w:w="3000" w:type="dxa"/>
          </w:tcPr>
          <w:p>
            <w:pPr/>
            <w:r>
              <w:rPr/>
              <w:t xml:space="preserve">Obsluha tiskacích válcových a filmových automatických strojů pro potisk textilií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Nutné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e21.A.2011</w:t>
            </w:r>
          </w:p>
        </w:tc>
        <w:tc>
          <w:tcPr>
            <w:tcW w:w="3000" w:type="dxa"/>
          </w:tcPr>
          <w:p>
            <w:pPr/>
            <w:r>
              <w:rPr/>
              <w:t xml:space="preserve">Ruční potiskování plošných textilií ručním nebo ručním filmovým tiskem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Nutné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e21.B.1088</w:t>
            </w:r>
          </w:p>
        </w:tc>
        <w:tc>
          <w:tcPr>
            <w:tcW w:w="3000" w:type="dxa"/>
          </w:tcPr>
          <w:p>
            <w:pPr/>
            <w:r>
              <w:rPr/>
              <w:t xml:space="preserve">Obsluha běhounů na strojích pro potisk textilií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Nutné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e21.D.1501</w:t>
            </w:r>
          </w:p>
        </w:tc>
        <w:tc>
          <w:tcPr>
            <w:tcW w:w="3000" w:type="dxa"/>
          </w:tcPr>
          <w:p>
            <w:pPr/>
            <w:r>
              <w:rPr/>
              <w:t xml:space="preserve">Dodržování zásad bezpečnosti a ochrany zdraví při práci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Nutné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e21.D.1115</w:t>
            </w:r>
          </w:p>
        </w:tc>
        <w:tc>
          <w:tcPr>
            <w:tcW w:w="3000" w:type="dxa"/>
          </w:tcPr>
          <w:p>
            <w:pPr/>
            <w:r>
              <w:rPr/>
              <w:t xml:space="preserve">Orientace v recepturách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Nutné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e21.D.3927</w:t>
            </w:r>
          </w:p>
        </w:tc>
        <w:tc>
          <w:tcPr>
            <w:tcW w:w="3000" w:type="dxa"/>
          </w:tcPr>
          <w:p>
            <w:pPr/>
            <w:r>
              <w:rPr/>
              <w:t xml:space="preserve">Posuzování jakosti potisknutých textilií před tiskem a po tisku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Nutné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e21.B.4014</w:t>
            </w:r>
          </w:p>
        </w:tc>
        <w:tc>
          <w:tcPr>
            <w:tcW w:w="3000" w:type="dxa"/>
          </w:tcPr>
          <w:p>
            <w:pPr/>
            <w:r>
              <w:rPr/>
              <w:t xml:space="preserve">Seřizování, ošetřování a údržba strojů a zařízení pro potiskování a fixaci barviv na textiliích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Nutné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e21.B.2071</w:t>
            </w:r>
          </w:p>
        </w:tc>
        <w:tc>
          <w:tcPr>
            <w:tcW w:w="3000" w:type="dxa"/>
          </w:tcPr>
          <w:p>
            <w:pPr/>
            <w:r>
              <w:rPr/>
              <w:t xml:space="preserve">Řízení ovládacích panelů vícestupňových kombinovaných a vícestupňových linek a aparaturních zařízení pro chemické zušlechťování různých druhů textilních materiálů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Výhodné</w:t>
            </w:r>
          </w:p>
        </w:tc>
      </w:tr>
    </w:tbl>
    <w:p>
      <w:pPr/>
      <w:r>
        <w:rPr>
          <w:sz w:val="16"/>
          <w:szCs w:val="16"/>
          <w:i w:val="1"/>
          <w:iCs w:val="1"/>
        </w:rPr>
        <w:t xml:space="preserve">Popisy úrovní naleznete zde: https://nsp.cz/downloads/Priloha_c2_manualu.pdf</w:t>
      </w:r>
    </w:p>
    <w:p/>
    <w:p>
      <w:pPr>
        <w:pStyle w:val="Heading3"/>
      </w:pPr>
      <w:bookmarkStart w:id="17" w:name="_Toc17"/>
      <w:r>
        <w:t>Odborné znalosti</w:t>
      </w:r>
      <w:bookmarkEnd w:id="17"/>
    </w:p>
    <w:tbl>
      <w:tblGrid>
        <w:gridCol w:w="2000" w:type="dxa"/>
        <w:gridCol w:w="3000" w:type="dxa"/>
        <w:gridCol w:w="2000" w:type="dxa"/>
        <w:gridCol w:w="2000" w:type="dxa"/>
      </w:tblGrid>
      <w:tblPr>
        <w:jc w:val="start"/>
        <w:tblW w:w="0" w:type="auto"/>
        <w:tblCellSpacing w:w="50" w:type="dxa"/>
        <w:tblLayout w:type="autofit"/>
        <w:bidiVisual w:val="0"/>
        <w:tblCellMar>
          <w:top w:w="80" w:type="dxa"/>
          <w:left w:w="80" w:type="dxa"/>
          <w:right w:w="80" w:type="dxa"/>
          <w:bottom w:w="80" w:type="dxa"/>
        </w:tblCellMar>
      </w:tblPr>
      <w:tr>
        <w:trPr/>
        <w:tc>
          <w:tcPr>
            <w:tcW w:w="2000" w:type="dxa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Kód</w:t>
            </w:r>
          </w:p>
        </w:tc>
        <w:tc>
          <w:tcPr>
            <w:tcW w:w="3000" w:type="dxa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Název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Úroveň 1-8</w:t>
            </w:r>
          </w:p>
        </w:tc>
        <w:tc>
          <w:tcPr>
            <w:tcW w:w="2000" w:type="dxa"/>
          </w:tcPr>
          <w:p>
            <w:pPr/>
            <w:r>
              <w:rPr>
                <w:b w:val="1"/>
                <w:bCs w:val="1"/>
              </w:rPr>
              <w:t xml:space="preserve">Vhodnost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e21._.0002</w:t>
            </w:r>
          </w:p>
        </w:tc>
        <w:tc>
          <w:tcPr>
            <w:tcW w:w="3000" w:type="dxa"/>
          </w:tcPr>
          <w:p>
            <w:pPr/>
            <w:r>
              <w:rPr/>
              <w:t xml:space="preserve">textilní materiály a produkty, druhy, vlastnosti, vady, způsoby rozborů a zkoušek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Nutné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e21._.0029</w:t>
            </w:r>
          </w:p>
        </w:tc>
        <w:tc>
          <w:tcPr>
            <w:tcW w:w="3000" w:type="dxa"/>
          </w:tcPr>
          <w:p>
            <w:pPr/>
            <w:r>
              <w:rPr/>
              <w:t xml:space="preserve">technologie potiskování textilií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Nutné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e21._.0019</w:t>
            </w:r>
          </w:p>
        </w:tc>
        <w:tc>
          <w:tcPr>
            <w:tcW w:w="3000" w:type="dxa"/>
          </w:tcPr>
          <w:p>
            <w:pPr/>
            <w:r>
              <w:rPr/>
              <w:t xml:space="preserve">barviva, zahušťovadla a další pomocné materiály pro potisk textilií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Nutné</w:t>
            </w:r>
          </w:p>
        </w:tc>
      </w:tr>
    </w:tbl>
    <w:p>
      <w:pPr/>
      <w:r>
        <w:rPr>
          <w:sz w:val="16"/>
          <w:szCs w:val="16"/>
          <w:i w:val="1"/>
          <w:iCs w:val="1"/>
        </w:rPr>
        <w:t xml:space="preserve">Popisy úrovní naleznete zde: https://nsp.cz/downloads/Priloha_c2_manualu.pdf</w:t>
      </w:r>
    </w:p>
    <w:p/>
    <w:p>
      <w:pPr>
        <w:pStyle w:val="Heading3"/>
      </w:pPr>
      <w:bookmarkStart w:id="18" w:name="_Toc18"/>
      <w:r>
        <w:t>Digitální kompetence</w:t>
      </w:r>
      <w:bookmarkEnd w:id="18"/>
    </w:p>
    <w:tbl>
      <w:tblGrid>
        <w:gridCol w:w="2000" w:type="dxa"/>
        <w:gridCol w:w="5000" w:type="dxa"/>
        <w:gridCol w:w="2000" w:type="dxa"/>
      </w:tblGrid>
      <w:tblPr>
        <w:jc w:val="start"/>
        <w:tblW w:w="0" w:type="auto"/>
        <w:tblCellSpacing w:w="50" w:type="dxa"/>
        <w:tblLayout w:type="autofit"/>
        <w:bidiVisual w:val="0"/>
        <w:tblCellMar>
          <w:top w:w="80" w:type="dxa"/>
          <w:left w:w="80" w:type="dxa"/>
          <w:right w:w="80" w:type="dxa"/>
          <w:bottom w:w="80" w:type="dxa"/>
        </w:tblCellMar>
      </w:tblPr>
      <w:tr>
        <w:trPr/>
        <w:tc>
          <w:tcPr>
            <w:tcW w:w="2000" w:type="dxa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Kód</w:t>
            </w:r>
          </w:p>
        </w:tc>
        <w:tc>
          <w:tcPr>
            <w:tcW w:w="5000" w:type="dxa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Název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Úroveň 1-4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1.1</w:t>
            </w:r>
          </w:p>
        </w:tc>
        <w:tc>
          <w:tcPr>
            <w:tcW w:w="5000" w:type="dxa"/>
          </w:tcPr>
          <w:p>
            <w:pPr/>
            <w:r>
              <w:rPr/>
              <w:t xml:space="preserve">Prohlížení, vyhledávání a filtrování dat, informací a digitálního obsahu  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2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5.3</w:t>
            </w:r>
          </w:p>
        </w:tc>
        <w:tc>
          <w:tcPr>
            <w:tcW w:w="5000" w:type="dxa"/>
          </w:tcPr>
          <w:p>
            <w:pPr/>
            <w:r>
              <w:rPr/>
              <w:t xml:space="preserve">Kreativní využívání digitálních technologií  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2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5.2</w:t>
            </w:r>
          </w:p>
        </w:tc>
        <w:tc>
          <w:tcPr>
            <w:tcW w:w="5000" w:type="dxa"/>
          </w:tcPr>
          <w:p>
            <w:pPr/>
            <w:r>
              <w:rPr/>
              <w:t xml:space="preserve">Identifikace potřeb a výběr vhodných technologií  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2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5.1</w:t>
            </w:r>
          </w:p>
        </w:tc>
        <w:tc>
          <w:tcPr>
            <w:tcW w:w="5000" w:type="dxa"/>
          </w:tcPr>
          <w:p>
            <w:pPr/>
            <w:r>
              <w:rPr/>
              <w:t xml:space="preserve">Řešení technických problémů  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2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4.4</w:t>
            </w:r>
          </w:p>
        </w:tc>
        <w:tc>
          <w:tcPr>
            <w:tcW w:w="5000" w:type="dxa"/>
          </w:tcPr>
          <w:p>
            <w:pPr/>
            <w:r>
              <w:rPr/>
              <w:t xml:space="preserve">Ochrana životního prostředí  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1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4.3</w:t>
            </w:r>
          </w:p>
        </w:tc>
        <w:tc>
          <w:tcPr>
            <w:tcW w:w="5000" w:type="dxa"/>
          </w:tcPr>
          <w:p>
            <w:pPr/>
            <w:r>
              <w:rPr/>
              <w:t xml:space="preserve">Ochrana zdraví a duševní pohody  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1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4.2</w:t>
            </w:r>
          </w:p>
        </w:tc>
        <w:tc>
          <w:tcPr>
            <w:tcW w:w="5000" w:type="dxa"/>
          </w:tcPr>
          <w:p>
            <w:pPr/>
            <w:r>
              <w:rPr/>
              <w:t xml:space="preserve">Ochrana osobních dat a soukromí  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2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4.1</w:t>
            </w:r>
          </w:p>
        </w:tc>
        <w:tc>
          <w:tcPr>
            <w:tcW w:w="5000" w:type="dxa"/>
          </w:tcPr>
          <w:p>
            <w:pPr/>
            <w:r>
              <w:rPr/>
              <w:t xml:space="preserve">Ochrana zařízení  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2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3.3</w:t>
            </w:r>
          </w:p>
        </w:tc>
        <w:tc>
          <w:tcPr>
            <w:tcW w:w="5000" w:type="dxa"/>
          </w:tcPr>
          <w:p>
            <w:pPr/>
            <w:r>
              <w:rPr/>
              <w:t xml:space="preserve">Autorská práva a licence  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2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3.2</w:t>
            </w:r>
          </w:p>
        </w:tc>
        <w:tc>
          <w:tcPr>
            <w:tcW w:w="5000" w:type="dxa"/>
          </w:tcPr>
          <w:p>
            <w:pPr/>
            <w:r>
              <w:rPr/>
              <w:t xml:space="preserve">Integrace a přepracování digitálního obsahu  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2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3.1</w:t>
            </w:r>
          </w:p>
        </w:tc>
        <w:tc>
          <w:tcPr>
            <w:tcW w:w="5000" w:type="dxa"/>
          </w:tcPr>
          <w:p>
            <w:pPr/>
            <w:r>
              <w:rPr/>
              <w:t xml:space="preserve">Tvorba digitálního obsahu  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2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2.5</w:t>
            </w:r>
          </w:p>
        </w:tc>
        <w:tc>
          <w:tcPr>
            <w:tcW w:w="5000" w:type="dxa"/>
          </w:tcPr>
          <w:p>
            <w:pPr/>
            <w:r>
              <w:rPr/>
              <w:t xml:space="preserve">Netiketa  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2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2.4</w:t>
            </w:r>
          </w:p>
        </w:tc>
        <w:tc>
          <w:tcPr>
            <w:tcW w:w="5000" w:type="dxa"/>
          </w:tcPr>
          <w:p>
            <w:pPr/>
            <w:r>
              <w:rPr/>
              <w:t xml:space="preserve">Spolupráce prostřednictvím digitálních technologií  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2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2.2</w:t>
            </w:r>
          </w:p>
        </w:tc>
        <w:tc>
          <w:tcPr>
            <w:tcW w:w="5000" w:type="dxa"/>
          </w:tcPr>
          <w:p>
            <w:pPr/>
            <w:r>
              <w:rPr/>
              <w:t xml:space="preserve">Sdílení prostřednictvím digitálních technologií  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2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2.1</w:t>
            </w:r>
          </w:p>
        </w:tc>
        <w:tc>
          <w:tcPr>
            <w:tcW w:w="5000" w:type="dxa"/>
          </w:tcPr>
          <w:p>
            <w:pPr/>
            <w:r>
              <w:rPr/>
              <w:t xml:space="preserve">Interakce prostřednictvím digitálních technologií  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2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1.3</w:t>
            </w:r>
          </w:p>
        </w:tc>
        <w:tc>
          <w:tcPr>
            <w:tcW w:w="5000" w:type="dxa"/>
          </w:tcPr>
          <w:p>
            <w:pPr/>
            <w:r>
              <w:rPr/>
              <w:t xml:space="preserve">Správa dat, informací a digitálního obsahu  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2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1.2</w:t>
            </w:r>
          </w:p>
        </w:tc>
        <w:tc>
          <w:tcPr>
            <w:tcW w:w="5000" w:type="dxa"/>
          </w:tcPr>
          <w:p>
            <w:pPr/>
            <w:r>
              <w:rPr/>
              <w:t xml:space="preserve">Hodnocení dat, informací a digitálního obsahu  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2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5.4</w:t>
            </w:r>
          </w:p>
        </w:tc>
        <w:tc>
          <w:tcPr>
            <w:tcW w:w="5000" w:type="dxa"/>
          </w:tcPr>
          <w:p>
            <w:pPr/>
            <w:r>
              <w:rPr/>
              <w:t xml:space="preserve">Identifikace nedostatků v digitálních kompetencích  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2</w:t>
            </w:r>
          </w:p>
        </w:tc>
      </w:tr>
    </w:tbl>
    <w:p>
      <w:pPr/>
      <w:r>
        <w:rPr>
          <w:sz w:val="16"/>
          <w:szCs w:val="16"/>
          <w:i w:val="1"/>
          <w:iCs w:val="1"/>
        </w:rPr>
        <w:t xml:space="preserve">Popisy úrovní naleznete zde: https://nsp.cz/downloads/Priloha_c15_manualu.pdf</w:t>
      </w:r>
    </w:p>
    <w:p/>
    <w:p>
      <w:pPr>
        <w:pStyle w:val="Heading3"/>
      </w:pPr>
      <w:bookmarkStart w:id="19" w:name="_Toc19"/>
      <w:r>
        <w:t>Měkké kompetence</w:t>
      </w:r>
      <w:bookmarkEnd w:id="19"/>
    </w:p>
    <w:tbl>
      <w:tblGrid>
        <w:gridCol w:w="2000" w:type="dxa"/>
        <w:gridCol w:w="5000" w:type="dxa"/>
        <w:gridCol w:w="2000" w:type="dxa"/>
      </w:tblGrid>
      <w:tblPr>
        <w:jc w:val="start"/>
        <w:tblW w:w="0" w:type="auto"/>
        <w:tblCellSpacing w:w="50" w:type="dxa"/>
        <w:tblLayout w:type="autofit"/>
        <w:bidiVisual w:val="0"/>
        <w:tblCellMar>
          <w:top w:w="80" w:type="dxa"/>
          <w:left w:w="80" w:type="dxa"/>
          <w:right w:w="80" w:type="dxa"/>
          <w:bottom w:w="80" w:type="dxa"/>
        </w:tblCellMar>
      </w:tblPr>
      <w:tr>
        <w:trPr/>
        <w:tc>
          <w:tcPr>
            <w:tcW w:w="2000" w:type="dxa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Kód</w:t>
            </w:r>
          </w:p>
        </w:tc>
        <w:tc>
          <w:tcPr>
            <w:tcW w:w="5000" w:type="dxa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Název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Úroveň 0-5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2.1</w:t>
            </w:r>
          </w:p>
        </w:tc>
        <w:tc>
          <w:tcPr>
            <w:tcW w:w="5000" w:type="dxa"/>
          </w:tcPr>
          <w:p>
            <w:pPr/>
            <w:r>
              <w:rPr/>
              <w:t xml:space="preserve">Kompetence k efektivní komunikaci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3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2.6</w:t>
            </w:r>
          </w:p>
        </w:tc>
        <w:tc>
          <w:tcPr>
            <w:tcW w:w="5000" w:type="dxa"/>
          </w:tcPr>
          <w:p>
            <w:pPr/>
            <w:r>
              <w:rPr/>
              <w:t xml:space="preserve">Kompetence k vedení lidí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0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3.3</w:t>
            </w:r>
          </w:p>
        </w:tc>
        <w:tc>
          <w:tcPr>
            <w:tcW w:w="5000" w:type="dxa"/>
          </w:tcPr>
          <w:p>
            <w:pPr/>
            <w:r>
              <w:rPr/>
              <w:t xml:space="preserve">Kompetence k objevování a orientaci v informacích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2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1.4</w:t>
            </w:r>
          </w:p>
        </w:tc>
        <w:tc>
          <w:tcPr>
            <w:tcW w:w="5000" w:type="dxa"/>
          </w:tcPr>
          <w:p>
            <w:pPr/>
            <w:r>
              <w:rPr/>
              <w:t xml:space="preserve">Kompetence ke zvládání stresu a zátěže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3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4.1</w:t>
            </w:r>
          </w:p>
        </w:tc>
        <w:tc>
          <w:tcPr>
            <w:tcW w:w="5000" w:type="dxa"/>
          </w:tcPr>
          <w:p>
            <w:pPr/>
            <w:r>
              <w:rPr/>
              <w:t xml:space="preserve">Kompetence k aktivnímu přístupu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3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1.1</w:t>
            </w:r>
          </w:p>
        </w:tc>
        <w:tc>
          <w:tcPr>
            <w:tcW w:w="5000" w:type="dxa"/>
          </w:tcPr>
          <w:p>
            <w:pPr/>
            <w:r>
              <w:rPr/>
              <w:t xml:space="preserve">Kompetence k celoživotnímu vzdělávání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3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4.2</w:t>
            </w:r>
          </w:p>
        </w:tc>
        <w:tc>
          <w:tcPr>
            <w:tcW w:w="5000" w:type="dxa"/>
          </w:tcPr>
          <w:p>
            <w:pPr/>
            <w:r>
              <w:rPr/>
              <w:t xml:space="preserve">Kompetence k plánování a organizování práce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3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4.4</w:t>
            </w:r>
          </w:p>
        </w:tc>
        <w:tc>
          <w:tcPr>
            <w:tcW w:w="5000" w:type="dxa"/>
          </w:tcPr>
          <w:p>
            <w:pPr/>
            <w:r>
              <w:rPr/>
              <w:t xml:space="preserve">Kompetence k řešení problémů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3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4.5</w:t>
            </w:r>
          </w:p>
        </w:tc>
        <w:tc>
          <w:tcPr>
            <w:tcW w:w="5000" w:type="dxa"/>
          </w:tcPr>
          <w:p>
            <w:pPr/>
            <w:r>
              <w:rPr/>
              <w:t xml:space="preserve">Kompetence k samostatnosti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4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4.6</w:t>
            </w:r>
          </w:p>
        </w:tc>
        <w:tc>
          <w:tcPr>
            <w:tcW w:w="5000" w:type="dxa"/>
          </w:tcPr>
          <w:p>
            <w:pPr/>
            <w:r>
              <w:rPr/>
              <w:t xml:space="preserve">Kompetence k výkonnosti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3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2.3</w:t>
            </w:r>
          </w:p>
        </w:tc>
        <w:tc>
          <w:tcPr>
            <w:tcW w:w="5000" w:type="dxa"/>
          </w:tcPr>
          <w:p>
            <w:pPr/>
            <w:r>
              <w:rPr/>
              <w:t xml:space="preserve">Kompetence k orientaci na zákazníka a uspokojování zákaznických potřeb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3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1.2</w:t>
            </w:r>
          </w:p>
        </w:tc>
        <w:tc>
          <w:tcPr>
            <w:tcW w:w="5000" w:type="dxa"/>
          </w:tcPr>
          <w:p>
            <w:pPr/>
            <w:r>
              <w:rPr/>
              <w:t xml:space="preserve">Kompetence k flexibilitě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3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1.3</w:t>
            </w:r>
          </w:p>
        </w:tc>
        <w:tc>
          <w:tcPr>
            <w:tcW w:w="5000" w:type="dxa"/>
          </w:tcPr>
          <w:p>
            <w:pPr/>
            <w:r>
              <w:rPr/>
              <w:t xml:space="preserve">Kompetence ke kreativitě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3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2.2</w:t>
            </w:r>
          </w:p>
        </w:tc>
        <w:tc>
          <w:tcPr>
            <w:tcW w:w="5000" w:type="dxa"/>
          </w:tcPr>
          <w:p>
            <w:pPr/>
            <w:r>
              <w:rPr/>
              <w:t xml:space="preserve">Kompetence ke kooperaci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3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2.4</w:t>
            </w:r>
          </w:p>
        </w:tc>
        <w:tc>
          <w:tcPr>
            <w:tcW w:w="5000" w:type="dxa"/>
          </w:tcPr>
          <w:p>
            <w:pPr/>
            <w:r>
              <w:rPr/>
              <w:t xml:space="preserve">Kompetence k ovlivňování a rozvíjení ostatních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3</w:t>
            </w:r>
          </w:p>
        </w:tc>
      </w:tr>
    </w:tbl>
    <w:p>
      <w:pPr/>
      <w:r>
        <w:rPr>
          <w:sz w:val="16"/>
          <w:szCs w:val="16"/>
          <w:i w:val="1"/>
          <w:iCs w:val="1"/>
        </w:rPr>
        <w:t xml:space="preserve">Popisy úrovní naleznete zde: https://nsp.cz/downloads/Priloha_c9_manualu.pdf</w:t>
      </w:r>
    </w:p>
    <w:p/>
    <w:p>
      <w:pPr>
        <w:pStyle w:val="Heading2"/>
      </w:pPr>
      <w:bookmarkStart w:id="20" w:name="_Toc20"/>
      <w:r>
        <w:t>Zdravotní podmínky</w:t>
      </w:r>
      <w:bookmarkEnd w:id="20"/>
    </w:p>
    <w:p>
      <w:pPr>
        <w:pStyle w:val="Heading3"/>
      </w:pPr>
      <w:bookmarkStart w:id="21" w:name="_Toc21"/>
      <w:r>
        <w:t>Onemocnění omezující výkon povolání / specializace povolání.</w:t>
      </w:r>
      <w:bookmarkEnd w:id="21"/>
    </w:p>
    <w:p>
      <w:pPr>
        <w:numPr>
          <w:ilvl w:val="0"/>
          <w:numId w:val="5"/>
        </w:numPr>
      </w:pPr>
      <w:r>
        <w:rPr/>
        <w:t xml:space="preserve">Závažná nervová onemocnění a psychosomatická onemocnění</w:t>
      </w:r>
    </w:p>
    <w:p>
      <w:pPr>
        <w:numPr>
          <w:ilvl w:val="0"/>
          <w:numId w:val="5"/>
        </w:numPr>
      </w:pPr>
      <w:r>
        <w:rPr/>
        <w:t xml:space="preserve">Duševní poruchy a poruchy chování</w:t>
      </w:r>
    </w:p>
    <w:p>
      <w:pPr>
        <w:numPr>
          <w:ilvl w:val="0"/>
          <w:numId w:val="5"/>
        </w:numPr>
      </w:pPr>
      <w:r>
        <w:rPr/>
        <w:t xml:space="preserve">Chronická onemocnění jater</w:t>
      </w:r>
    </w:p>
    <w:p>
      <w:pPr>
        <w:numPr>
          <w:ilvl w:val="0"/>
          <w:numId w:val="5"/>
        </w:numPr>
      </w:pPr>
      <w:r>
        <w:rPr/>
        <w:t xml:space="preserve">Alergická onemocnění</w:t>
      </w:r>
    </w:p>
    <w:p>
      <w:pPr>
        <w:numPr>
          <w:ilvl w:val="0"/>
          <w:numId w:val="5"/>
        </w:numPr>
      </w:pPr>
      <w:r>
        <w:rPr/>
        <w:t xml:space="preserve">Závažná orgánová onemocnění podle toxikologických vlastností látek</w:t>
      </w:r>
    </w:p>
    <w:p>
      <w:pPr>
        <w:numPr>
          <w:ilvl w:val="0"/>
          <w:numId w:val="5"/>
        </w:numPr>
      </w:pPr>
      <w:r>
        <w:rPr/>
        <w:t xml:space="preserve">Závažná chronická onemocnění kůže a spojivek</w:t>
      </w:r>
    </w:p>
    <w:p>
      <w:pPr>
        <w:numPr>
          <w:ilvl w:val="0"/>
          <w:numId w:val="5"/>
        </w:numPr>
      </w:pPr>
      <w:r>
        <w:rPr/>
        <w:t xml:space="preserve">Závažná onemocnění dýchacích cest a plic</w:t>
      </w:r>
    </w:p>
    <w:p>
      <w:pPr/>
      <w:r>
        <w:rPr>
          <w:sz w:val="16"/>
          <w:szCs w:val="16"/>
          <w:i w:val="1"/>
          <w:iCs w:val="1"/>
        </w:rPr>
        <w:t xml:space="preserve">Přesné posouzení zdravotního stavu s následným doporučením nebo nedoporučením výkonu této pozice je možné pouze po konzultaci s lékařem.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5">
    <w:nsid w:val="B057E8DD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5">
    <w:abstractNumId w:val="5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spacing w:after="120"/>
    </w:pPr>
    <w:rPr>
      <w:sz w:val="40"/>
      <w:szCs w:val="40"/>
      <w:b w:val="1"/>
      <w:bCs w:val="1"/>
    </w:rPr>
  </w:style>
  <w:style w:type="paragraph" w:styleId="Heading2">
    <w:link w:val="Heading2Char"/>
    <w:name w:val="heading 2"/>
    <w:basedOn w:val="Normal"/>
    <w:pPr>
      <w:spacing w:after="80"/>
    </w:pPr>
    <w:rPr>
      <w:sz w:val="28"/>
      <w:szCs w:val="28"/>
      <w:b w:val="1"/>
      <w:bCs w:val="1"/>
    </w:rPr>
  </w:style>
  <w:style w:type="paragraph" w:styleId="Heading3">
    <w:link w:val="Heading3Char"/>
    <w:name w:val="heading 3"/>
    <w:basedOn w:val="Normal"/>
    <w:pPr>
      <w:spacing w:after="60"/>
    </w:pPr>
    <w:rPr>
      <w:sz w:val="24"/>
      <w:szCs w:val="24"/>
      <w:b w:val="1"/>
      <w:bCs w:val="1"/>
    </w:rPr>
  </w:style>
  <w:style w:type="paragraph" w:styleId="Heading4">
    <w:link w:val="Heading4Char"/>
    <w:name w:val="heading 4"/>
    <w:basedOn w:val="Normal"/>
    <w:pPr>
      <w:spacing w:after="60"/>
    </w:pPr>
    <w:rPr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FDV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NSP.CZ</dc:creator>
  <dc:title>Tiskař textilií</dc:title>
  <dc:description>Tiskař textilií obsluhuje stroje a zařízení, které vytváří jednobarevné nebo vícebarevné vzory na textiliích nanášením tiskacích barev na předem určená místa.</dc:description>
  <dc:subject/>
  <cp:keywords/>
  <cp:category>Specializace</cp:category>
  <cp:lastModifiedBy/>
  <dcterms:created xsi:type="dcterms:W3CDTF">2017-11-22T09:14:36+01:00</dcterms:created>
  <dcterms:modified xsi:type="dcterms:W3CDTF">2024-03-26T10:03:33+01:00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